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97" w:rsidRPr="00EA5097" w:rsidRDefault="000B52BC" w:rsidP="00CD5AA3">
      <w:pPr>
        <w:pStyle w:val="Heading1"/>
      </w:pPr>
      <w:r>
        <w:t>Note</w:t>
      </w:r>
    </w:p>
    <w:tbl>
      <w:tblPr>
        <w:tblStyle w:val="TableGrid"/>
        <w:tblW w:w="5000" w:type="pct"/>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2839"/>
        <w:gridCol w:w="11153"/>
      </w:tblGrid>
      <w:tr w:rsidR="000B52BC" w:rsidTr="00075933">
        <w:tc>
          <w:tcPr>
            <w:tcW w:w="2839" w:type="dxa"/>
          </w:tcPr>
          <w:p w:rsidR="000B52BC" w:rsidRPr="0014551F" w:rsidRDefault="000B52BC" w:rsidP="009C47F9">
            <w:pPr>
              <w:spacing w:before="120" w:after="120" w:line="300" w:lineRule="auto"/>
              <w:rPr>
                <w:b/>
                <w:color w:val="404040" w:themeColor="text1" w:themeTint="BF"/>
              </w:rPr>
            </w:pPr>
            <w:r w:rsidRPr="0014551F">
              <w:rPr>
                <w:b/>
                <w:color w:val="404040" w:themeColor="text1" w:themeTint="BF"/>
              </w:rPr>
              <w:t>Meeting Date</w:t>
            </w:r>
          </w:p>
        </w:tc>
        <w:tc>
          <w:tcPr>
            <w:tcW w:w="11153" w:type="dxa"/>
          </w:tcPr>
          <w:p w:rsidR="000B52BC" w:rsidRDefault="00075933" w:rsidP="00E14757">
            <w:pPr>
              <w:spacing w:before="120" w:after="120" w:line="300" w:lineRule="auto"/>
            </w:pPr>
            <w:r>
              <w:t>Thursday</w:t>
            </w:r>
            <w:r w:rsidR="00B05DC7">
              <w:t xml:space="preserve"> </w:t>
            </w:r>
            <w:r w:rsidR="00E14757">
              <w:t>23 September</w:t>
            </w:r>
            <w:r>
              <w:t xml:space="preserve"> 2021</w:t>
            </w:r>
            <w:r w:rsidR="000B52BC">
              <w:t xml:space="preserve">; </w:t>
            </w:r>
            <w:r w:rsidR="00D442AB">
              <w:t>10:30</w:t>
            </w:r>
            <w:r w:rsidR="000B52BC">
              <w:t xml:space="preserve"> – </w:t>
            </w:r>
            <w:r w:rsidR="00E14757">
              <w:t>11:45</w:t>
            </w:r>
          </w:p>
        </w:tc>
      </w:tr>
      <w:tr w:rsidR="000B52BC" w:rsidTr="00075933">
        <w:tc>
          <w:tcPr>
            <w:tcW w:w="2839" w:type="dxa"/>
          </w:tcPr>
          <w:p w:rsidR="000B52BC" w:rsidRPr="0014551F" w:rsidRDefault="0024113B" w:rsidP="0024113B">
            <w:pPr>
              <w:spacing w:before="120" w:after="120" w:line="300" w:lineRule="auto"/>
              <w:rPr>
                <w:b/>
                <w:color w:val="404040" w:themeColor="text1" w:themeTint="BF"/>
              </w:rPr>
            </w:pPr>
            <w:r>
              <w:rPr>
                <w:b/>
                <w:color w:val="404040" w:themeColor="text1" w:themeTint="BF"/>
              </w:rPr>
              <w:t>Board</w:t>
            </w:r>
          </w:p>
        </w:tc>
        <w:tc>
          <w:tcPr>
            <w:tcW w:w="11153" w:type="dxa"/>
          </w:tcPr>
          <w:p w:rsidR="00E14757" w:rsidRDefault="00E14757" w:rsidP="00E14757">
            <w:pPr>
              <w:spacing w:before="60" w:after="60"/>
            </w:pPr>
            <w:r>
              <w:t>Andy Shaw, Chair</w:t>
            </w:r>
          </w:p>
          <w:p w:rsidR="00E14757" w:rsidRPr="002965D8" w:rsidRDefault="00E14757" w:rsidP="00E14757">
            <w:pPr>
              <w:spacing w:before="60" w:after="60"/>
            </w:pPr>
            <w:r w:rsidRPr="002965D8">
              <w:t>Claire Robertson</w:t>
            </w:r>
          </w:p>
          <w:p w:rsidR="000B52BC" w:rsidRDefault="00E14757" w:rsidP="00E14757">
            <w:pPr>
              <w:spacing w:before="60" w:after="60"/>
            </w:pPr>
            <w:r>
              <w:t>David Watt</w:t>
            </w:r>
          </w:p>
        </w:tc>
      </w:tr>
      <w:tr w:rsidR="000B52BC" w:rsidTr="00075933">
        <w:tc>
          <w:tcPr>
            <w:tcW w:w="2839" w:type="dxa"/>
          </w:tcPr>
          <w:p w:rsidR="000B52BC" w:rsidRPr="0014551F" w:rsidRDefault="000B52BC" w:rsidP="009C47F9">
            <w:pPr>
              <w:spacing w:before="120" w:after="120" w:line="300" w:lineRule="auto"/>
              <w:rPr>
                <w:b/>
                <w:color w:val="404040" w:themeColor="text1" w:themeTint="BF"/>
              </w:rPr>
            </w:pPr>
            <w:r w:rsidRPr="0014551F">
              <w:rPr>
                <w:b/>
                <w:color w:val="404040" w:themeColor="text1" w:themeTint="BF"/>
              </w:rPr>
              <w:t>Attendees</w:t>
            </w:r>
          </w:p>
        </w:tc>
        <w:tc>
          <w:tcPr>
            <w:tcW w:w="11153" w:type="dxa"/>
          </w:tcPr>
          <w:p w:rsidR="00E14757" w:rsidRDefault="00E14757" w:rsidP="00E14757">
            <w:pPr>
              <w:spacing w:before="60" w:after="60"/>
            </w:pPr>
            <w:r>
              <w:t>External Auditor - Deloitte: Pat Kenny</w:t>
            </w:r>
          </w:p>
          <w:p w:rsidR="00E14757" w:rsidRDefault="00E14757" w:rsidP="00E14757">
            <w:pPr>
              <w:spacing w:before="60" w:after="60"/>
            </w:pPr>
            <w:r>
              <w:t>Internal Auditor – Wylie and Bisset: Stephen Pringle</w:t>
            </w:r>
          </w:p>
          <w:p w:rsidR="00E14757" w:rsidRDefault="00E14757" w:rsidP="00E14757">
            <w:pPr>
              <w:spacing w:before="60" w:after="60"/>
            </w:pPr>
            <w:r>
              <w:t>Ombudsman - Rosemary Agnew</w:t>
            </w:r>
          </w:p>
          <w:p w:rsidR="00E14757" w:rsidRDefault="00E14757" w:rsidP="00E14757">
            <w:pPr>
              <w:spacing w:before="60" w:after="60"/>
            </w:pPr>
            <w:r>
              <w:t>Director - Niki Maclean</w:t>
            </w:r>
          </w:p>
          <w:p w:rsidR="00E14757" w:rsidRDefault="00E14757" w:rsidP="00E14757">
            <w:pPr>
              <w:spacing w:before="60" w:after="60"/>
            </w:pPr>
            <w:r>
              <w:t>Head of Improvement, Standards and Engagement – Andrew Sheridan</w:t>
            </w:r>
          </w:p>
          <w:p w:rsidR="000B52BC" w:rsidRDefault="00E14757" w:rsidP="00E14757">
            <w:pPr>
              <w:spacing w:before="60" w:after="60"/>
            </w:pPr>
            <w:r>
              <w:t>Corporate Services Manager - Fiona Paterson (note taker)</w:t>
            </w:r>
          </w:p>
        </w:tc>
      </w:tr>
      <w:tr w:rsidR="00E14757" w:rsidTr="00075933">
        <w:tc>
          <w:tcPr>
            <w:tcW w:w="2839" w:type="dxa"/>
          </w:tcPr>
          <w:p w:rsidR="00E14757" w:rsidRPr="0014551F" w:rsidRDefault="00E14757" w:rsidP="00E14757">
            <w:pPr>
              <w:spacing w:before="120" w:after="120" w:line="300" w:lineRule="auto"/>
              <w:rPr>
                <w:b/>
                <w:color w:val="404040" w:themeColor="text1" w:themeTint="BF"/>
              </w:rPr>
            </w:pPr>
            <w:r>
              <w:rPr>
                <w:b/>
                <w:color w:val="404040" w:themeColor="text1" w:themeTint="BF"/>
              </w:rPr>
              <w:t>Observer</w:t>
            </w:r>
          </w:p>
        </w:tc>
        <w:tc>
          <w:tcPr>
            <w:tcW w:w="11153" w:type="dxa"/>
          </w:tcPr>
          <w:p w:rsidR="00E14757" w:rsidRDefault="00E14757" w:rsidP="00E14757">
            <w:pPr>
              <w:spacing w:before="60" w:after="60"/>
            </w:pPr>
            <w:r>
              <w:t>Communications and Engagement Manager – Theresa Valtin</w:t>
            </w:r>
          </w:p>
        </w:tc>
      </w:tr>
    </w:tbl>
    <w:p w:rsidR="00DD43C5" w:rsidRPr="00DD43C5" w:rsidRDefault="00DD43C5" w:rsidP="000D3F33">
      <w:pPr>
        <w:spacing w:before="120" w:after="120" w:line="300" w:lineRule="auto"/>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7796"/>
        <w:gridCol w:w="1559"/>
        <w:gridCol w:w="992"/>
        <w:gridCol w:w="956"/>
      </w:tblGrid>
      <w:tr w:rsidR="0016777E" w:rsidRPr="009A5A53" w:rsidTr="00A16EED">
        <w:trPr>
          <w:tblHeader/>
        </w:trPr>
        <w:tc>
          <w:tcPr>
            <w:tcW w:w="704" w:type="dxa"/>
            <w:shd w:val="clear" w:color="auto" w:fill="9FCFD5"/>
          </w:tcPr>
          <w:p w:rsidR="000B52BC" w:rsidRPr="009A5A53" w:rsidRDefault="000B52BC" w:rsidP="00A16EED">
            <w:pPr>
              <w:spacing w:before="120" w:after="120" w:line="300" w:lineRule="auto"/>
              <w:jc w:val="center"/>
              <w:rPr>
                <w:b/>
                <w:color w:val="000000" w:themeColor="text1"/>
              </w:rPr>
            </w:pPr>
            <w:r w:rsidRPr="009A5A53">
              <w:rPr>
                <w:b/>
                <w:color w:val="000000" w:themeColor="text1"/>
              </w:rPr>
              <w:t>Item</w:t>
            </w:r>
          </w:p>
        </w:tc>
        <w:tc>
          <w:tcPr>
            <w:tcW w:w="1985" w:type="dxa"/>
            <w:shd w:val="clear" w:color="auto" w:fill="9FCFD5"/>
          </w:tcPr>
          <w:p w:rsidR="000B52BC" w:rsidRPr="009A5A53" w:rsidRDefault="000B52BC" w:rsidP="000D3F33">
            <w:pPr>
              <w:spacing w:before="120" w:after="120" w:line="300" w:lineRule="auto"/>
              <w:jc w:val="center"/>
              <w:rPr>
                <w:b/>
                <w:color w:val="000000" w:themeColor="text1"/>
              </w:rPr>
            </w:pPr>
            <w:r w:rsidRPr="009A5A53">
              <w:rPr>
                <w:b/>
                <w:color w:val="000000" w:themeColor="text1"/>
              </w:rPr>
              <w:t>Subject</w:t>
            </w:r>
          </w:p>
        </w:tc>
        <w:tc>
          <w:tcPr>
            <w:tcW w:w="7796" w:type="dxa"/>
            <w:shd w:val="clear" w:color="auto" w:fill="9FCFD5"/>
          </w:tcPr>
          <w:p w:rsidR="000B52BC" w:rsidRPr="009A5A53" w:rsidRDefault="000B52BC" w:rsidP="000D3F33">
            <w:pPr>
              <w:spacing w:before="120" w:after="120" w:line="300" w:lineRule="auto"/>
              <w:jc w:val="center"/>
              <w:rPr>
                <w:b/>
                <w:color w:val="000000" w:themeColor="text1"/>
              </w:rPr>
            </w:pPr>
            <w:r w:rsidRPr="009A5A53">
              <w:rPr>
                <w:b/>
                <w:color w:val="000000" w:themeColor="text1"/>
              </w:rPr>
              <w:t>Main points of discussion</w:t>
            </w:r>
          </w:p>
        </w:tc>
        <w:tc>
          <w:tcPr>
            <w:tcW w:w="1559" w:type="dxa"/>
            <w:shd w:val="clear" w:color="auto" w:fill="9FCFD5"/>
          </w:tcPr>
          <w:p w:rsidR="000B52BC" w:rsidRPr="009A5A53" w:rsidRDefault="000B52BC" w:rsidP="000D3F33">
            <w:pPr>
              <w:spacing w:before="120" w:after="120" w:line="300" w:lineRule="auto"/>
              <w:jc w:val="center"/>
              <w:rPr>
                <w:b/>
                <w:color w:val="000000" w:themeColor="text1"/>
              </w:rPr>
            </w:pPr>
            <w:r w:rsidRPr="009A5A53">
              <w:rPr>
                <w:b/>
                <w:color w:val="000000" w:themeColor="text1"/>
              </w:rPr>
              <w:t>Actions agreed</w:t>
            </w:r>
          </w:p>
        </w:tc>
        <w:tc>
          <w:tcPr>
            <w:tcW w:w="992" w:type="dxa"/>
            <w:shd w:val="clear" w:color="auto" w:fill="9FCFD5"/>
          </w:tcPr>
          <w:p w:rsidR="000B52BC" w:rsidRPr="009A5A53" w:rsidRDefault="000B52BC" w:rsidP="000D3F33">
            <w:pPr>
              <w:spacing w:before="120" w:after="120" w:line="300" w:lineRule="auto"/>
              <w:jc w:val="center"/>
              <w:rPr>
                <w:b/>
                <w:color w:val="000000" w:themeColor="text1"/>
              </w:rPr>
            </w:pPr>
            <w:r w:rsidRPr="009A5A53">
              <w:rPr>
                <w:b/>
                <w:color w:val="000000" w:themeColor="text1"/>
              </w:rPr>
              <w:t>Due</w:t>
            </w:r>
          </w:p>
        </w:tc>
        <w:tc>
          <w:tcPr>
            <w:tcW w:w="956" w:type="dxa"/>
            <w:shd w:val="clear" w:color="auto" w:fill="9FCFD5"/>
          </w:tcPr>
          <w:p w:rsidR="000B52BC" w:rsidRPr="009A5A53" w:rsidRDefault="000B52BC" w:rsidP="009353FE">
            <w:pPr>
              <w:spacing w:before="120" w:after="120" w:line="300" w:lineRule="auto"/>
              <w:jc w:val="center"/>
              <w:rPr>
                <w:b/>
                <w:color w:val="000000" w:themeColor="text1"/>
              </w:rPr>
            </w:pPr>
            <w:r w:rsidRPr="009A5A53">
              <w:rPr>
                <w:b/>
                <w:color w:val="000000" w:themeColor="text1"/>
              </w:rPr>
              <w:t>Lead</w:t>
            </w:r>
          </w:p>
        </w:tc>
      </w:tr>
      <w:tr w:rsidR="00B05DC7" w:rsidRPr="009A5A53" w:rsidTr="00A16EED">
        <w:tc>
          <w:tcPr>
            <w:tcW w:w="704" w:type="dxa"/>
          </w:tcPr>
          <w:p w:rsidR="00B05DC7" w:rsidRDefault="00B05DC7" w:rsidP="00A16EED">
            <w:pPr>
              <w:spacing w:before="120" w:after="120" w:line="300" w:lineRule="auto"/>
              <w:jc w:val="center"/>
              <w:rPr>
                <w:color w:val="000000" w:themeColor="text1"/>
              </w:rPr>
            </w:pPr>
            <w:r>
              <w:rPr>
                <w:color w:val="000000" w:themeColor="text1"/>
              </w:rPr>
              <w:t>1.</w:t>
            </w:r>
          </w:p>
        </w:tc>
        <w:tc>
          <w:tcPr>
            <w:tcW w:w="1985" w:type="dxa"/>
          </w:tcPr>
          <w:p w:rsidR="00B05DC7" w:rsidRDefault="00B05DC7" w:rsidP="009353FE">
            <w:pPr>
              <w:spacing w:before="120" w:after="120" w:line="300" w:lineRule="auto"/>
              <w:rPr>
                <w:lang w:eastAsia="en-US"/>
              </w:rPr>
            </w:pPr>
            <w:r>
              <w:rPr>
                <w:lang w:eastAsia="en-US"/>
              </w:rPr>
              <w:t>Welcome</w:t>
            </w:r>
          </w:p>
        </w:tc>
        <w:tc>
          <w:tcPr>
            <w:tcW w:w="7796" w:type="dxa"/>
          </w:tcPr>
          <w:p w:rsidR="00B05DC7" w:rsidRPr="00E65A16" w:rsidRDefault="00B05DC7" w:rsidP="00E65A16">
            <w:pPr>
              <w:spacing w:before="120" w:after="120" w:line="300" w:lineRule="auto"/>
              <w:rPr>
                <w:color w:val="000000" w:themeColor="text1"/>
              </w:rPr>
            </w:pPr>
            <w:r w:rsidRPr="00E65A16">
              <w:rPr>
                <w:color w:val="000000" w:themeColor="text1"/>
              </w:rPr>
              <w:t xml:space="preserve">The Chair </w:t>
            </w:r>
            <w:r w:rsidR="00E65A16" w:rsidRPr="00E65A16">
              <w:rPr>
                <w:color w:val="000000" w:themeColor="text1"/>
              </w:rPr>
              <w:t xml:space="preserve">thanked everyone for attending </w:t>
            </w:r>
            <w:r w:rsidRPr="00E65A16">
              <w:rPr>
                <w:color w:val="000000" w:themeColor="text1"/>
              </w:rPr>
              <w:t xml:space="preserve">and noted the </w:t>
            </w:r>
            <w:r w:rsidR="00492C4E" w:rsidRPr="00E65A16">
              <w:rPr>
                <w:color w:val="000000" w:themeColor="text1"/>
              </w:rPr>
              <w:t xml:space="preserve">technical </w:t>
            </w:r>
            <w:r w:rsidRPr="00E65A16">
              <w:rPr>
                <w:color w:val="000000" w:themeColor="text1"/>
              </w:rPr>
              <w:t>difficulties that may be experienced</w:t>
            </w:r>
            <w:r w:rsidR="00492C4E" w:rsidRPr="00E65A16">
              <w:rPr>
                <w:color w:val="000000" w:themeColor="text1"/>
              </w:rPr>
              <w:t xml:space="preserve"> by attendees during this</w:t>
            </w:r>
            <w:r w:rsidRPr="00E65A16">
              <w:rPr>
                <w:color w:val="000000" w:themeColor="text1"/>
              </w:rPr>
              <w:t xml:space="preserve"> </w:t>
            </w:r>
            <w:r w:rsidR="00492C4E" w:rsidRPr="00E65A16">
              <w:rPr>
                <w:color w:val="000000" w:themeColor="text1"/>
              </w:rPr>
              <w:t>video-conference</w:t>
            </w:r>
            <w:r w:rsidRPr="00E65A16">
              <w:rPr>
                <w:color w:val="000000" w:themeColor="text1"/>
              </w:rPr>
              <w:t xml:space="preserve"> meeting.</w:t>
            </w:r>
          </w:p>
        </w:tc>
        <w:tc>
          <w:tcPr>
            <w:tcW w:w="1559" w:type="dxa"/>
            <w:shd w:val="clear" w:color="auto" w:fill="auto"/>
          </w:tcPr>
          <w:p w:rsidR="00B05DC7" w:rsidRPr="009A5A53" w:rsidRDefault="00B05DC7" w:rsidP="009353FE">
            <w:pPr>
              <w:spacing w:before="120" w:after="120" w:line="300" w:lineRule="auto"/>
              <w:rPr>
                <w:color w:val="000000" w:themeColor="text1"/>
              </w:rPr>
            </w:pPr>
          </w:p>
        </w:tc>
        <w:tc>
          <w:tcPr>
            <w:tcW w:w="992" w:type="dxa"/>
            <w:shd w:val="clear" w:color="auto" w:fill="auto"/>
          </w:tcPr>
          <w:p w:rsidR="00B05DC7" w:rsidRPr="009A5A53" w:rsidRDefault="00B05DC7" w:rsidP="009353FE">
            <w:pPr>
              <w:spacing w:before="120" w:after="120" w:line="300" w:lineRule="auto"/>
              <w:rPr>
                <w:color w:val="000000" w:themeColor="text1"/>
              </w:rPr>
            </w:pPr>
          </w:p>
        </w:tc>
        <w:tc>
          <w:tcPr>
            <w:tcW w:w="956" w:type="dxa"/>
            <w:shd w:val="clear" w:color="auto" w:fill="auto"/>
          </w:tcPr>
          <w:p w:rsidR="00B05DC7" w:rsidRDefault="00B05DC7" w:rsidP="0016777E">
            <w:pPr>
              <w:spacing w:before="120" w:after="120" w:line="300" w:lineRule="auto"/>
              <w:rPr>
                <w:color w:val="000000" w:themeColor="text1"/>
              </w:rPr>
            </w:pPr>
          </w:p>
        </w:tc>
      </w:tr>
      <w:tr w:rsidR="0016777E" w:rsidRPr="009A5A53" w:rsidTr="00A16EED">
        <w:tc>
          <w:tcPr>
            <w:tcW w:w="704" w:type="dxa"/>
          </w:tcPr>
          <w:p w:rsidR="009353FE" w:rsidRDefault="00B05DC7" w:rsidP="00A16EED">
            <w:pPr>
              <w:spacing w:before="120" w:after="120" w:line="300" w:lineRule="auto"/>
              <w:jc w:val="center"/>
              <w:rPr>
                <w:color w:val="000000" w:themeColor="text1"/>
              </w:rPr>
            </w:pPr>
            <w:r>
              <w:rPr>
                <w:color w:val="000000" w:themeColor="text1"/>
              </w:rPr>
              <w:t>2</w:t>
            </w:r>
            <w:r w:rsidR="009353FE">
              <w:rPr>
                <w:color w:val="000000" w:themeColor="text1"/>
              </w:rPr>
              <w:t>.</w:t>
            </w:r>
          </w:p>
        </w:tc>
        <w:tc>
          <w:tcPr>
            <w:tcW w:w="1985" w:type="dxa"/>
          </w:tcPr>
          <w:p w:rsidR="009353FE" w:rsidRPr="0016518D" w:rsidRDefault="009353FE" w:rsidP="009353FE">
            <w:pPr>
              <w:spacing w:before="120" w:after="120" w:line="300" w:lineRule="auto"/>
              <w:rPr>
                <w:lang w:eastAsia="en-US"/>
              </w:rPr>
            </w:pPr>
            <w:r>
              <w:rPr>
                <w:lang w:eastAsia="en-US"/>
              </w:rPr>
              <w:t>D</w:t>
            </w:r>
            <w:r w:rsidRPr="0016518D">
              <w:rPr>
                <w:lang w:eastAsia="en-US"/>
              </w:rPr>
              <w:t>eclarations of Interest</w:t>
            </w:r>
          </w:p>
        </w:tc>
        <w:tc>
          <w:tcPr>
            <w:tcW w:w="7796" w:type="dxa"/>
          </w:tcPr>
          <w:p w:rsidR="009353FE" w:rsidRPr="00E65A16" w:rsidRDefault="00397D5C" w:rsidP="00E65A16">
            <w:pPr>
              <w:spacing w:before="120" w:after="120" w:line="300" w:lineRule="auto"/>
              <w:rPr>
                <w:color w:val="000000" w:themeColor="text1"/>
              </w:rPr>
            </w:pPr>
            <w:r w:rsidRPr="00E65A16">
              <w:rPr>
                <w:color w:val="000000" w:themeColor="text1"/>
              </w:rPr>
              <w:t>There were no additional matter</w:t>
            </w:r>
            <w:r w:rsidR="00DF5559" w:rsidRPr="00E65A16">
              <w:rPr>
                <w:color w:val="000000" w:themeColor="text1"/>
              </w:rPr>
              <w:t>s</w:t>
            </w:r>
            <w:r w:rsidRPr="00E65A16">
              <w:rPr>
                <w:color w:val="000000" w:themeColor="text1"/>
              </w:rPr>
              <w:t xml:space="preserve"> for declaration, other than already noted on the published Declarations of Interest.</w:t>
            </w:r>
          </w:p>
        </w:tc>
        <w:tc>
          <w:tcPr>
            <w:tcW w:w="1559" w:type="dxa"/>
            <w:shd w:val="clear" w:color="auto" w:fill="auto"/>
          </w:tcPr>
          <w:p w:rsidR="009353FE" w:rsidRPr="009A5A53" w:rsidRDefault="009353FE" w:rsidP="009353FE">
            <w:pPr>
              <w:spacing w:before="120" w:after="120" w:line="300" w:lineRule="auto"/>
              <w:rPr>
                <w:color w:val="000000" w:themeColor="text1"/>
              </w:rPr>
            </w:pPr>
          </w:p>
        </w:tc>
        <w:tc>
          <w:tcPr>
            <w:tcW w:w="992" w:type="dxa"/>
            <w:shd w:val="clear" w:color="auto" w:fill="auto"/>
          </w:tcPr>
          <w:p w:rsidR="009353FE" w:rsidRPr="009A5A53" w:rsidRDefault="009353FE" w:rsidP="009353FE">
            <w:pPr>
              <w:spacing w:before="120" w:after="120" w:line="300" w:lineRule="auto"/>
              <w:rPr>
                <w:color w:val="000000" w:themeColor="text1"/>
              </w:rPr>
            </w:pPr>
          </w:p>
        </w:tc>
        <w:tc>
          <w:tcPr>
            <w:tcW w:w="956" w:type="dxa"/>
            <w:shd w:val="clear" w:color="auto" w:fill="auto"/>
          </w:tcPr>
          <w:p w:rsidR="009353FE" w:rsidRDefault="009353FE" w:rsidP="0016777E">
            <w:pPr>
              <w:spacing w:before="120" w:after="120" w:line="300" w:lineRule="auto"/>
              <w:rPr>
                <w:color w:val="000000" w:themeColor="text1"/>
              </w:rPr>
            </w:pPr>
          </w:p>
        </w:tc>
      </w:tr>
      <w:tr w:rsidR="0016777E" w:rsidRPr="009A5A53" w:rsidTr="00A16EED">
        <w:tc>
          <w:tcPr>
            <w:tcW w:w="704" w:type="dxa"/>
          </w:tcPr>
          <w:p w:rsidR="009353FE" w:rsidRPr="009A5A53" w:rsidRDefault="00B05DC7" w:rsidP="00A16EED">
            <w:pPr>
              <w:spacing w:before="120" w:after="120" w:line="300" w:lineRule="auto"/>
              <w:jc w:val="center"/>
              <w:rPr>
                <w:color w:val="000000" w:themeColor="text1"/>
              </w:rPr>
            </w:pPr>
            <w:r>
              <w:rPr>
                <w:color w:val="000000" w:themeColor="text1"/>
              </w:rPr>
              <w:t>3</w:t>
            </w:r>
            <w:r w:rsidR="009353FE" w:rsidRPr="009A5A53">
              <w:rPr>
                <w:color w:val="000000" w:themeColor="text1"/>
              </w:rPr>
              <w:t>.</w:t>
            </w:r>
          </w:p>
        </w:tc>
        <w:tc>
          <w:tcPr>
            <w:tcW w:w="1985" w:type="dxa"/>
          </w:tcPr>
          <w:p w:rsidR="009353FE" w:rsidRPr="009A5A53" w:rsidRDefault="009353FE" w:rsidP="00D9051C">
            <w:pPr>
              <w:spacing w:before="120" w:after="120" w:line="300" w:lineRule="auto"/>
              <w:rPr>
                <w:color w:val="000000" w:themeColor="text1"/>
              </w:rPr>
            </w:pPr>
            <w:r>
              <w:rPr>
                <w:color w:val="auto"/>
                <w:lang w:eastAsia="en-US"/>
              </w:rPr>
              <w:t>Previous note</w:t>
            </w:r>
            <w:r w:rsidR="00D9051C">
              <w:rPr>
                <w:color w:val="auto"/>
                <w:lang w:eastAsia="en-US"/>
              </w:rPr>
              <w:t>s</w:t>
            </w:r>
            <w:r w:rsidRPr="001F1BBD">
              <w:rPr>
                <w:color w:val="auto"/>
                <w:lang w:eastAsia="en-US"/>
              </w:rPr>
              <w:t xml:space="preserve">, </w:t>
            </w:r>
            <w:r w:rsidR="00D9051C" w:rsidRPr="001F1BBD">
              <w:rPr>
                <w:color w:val="auto"/>
                <w:lang w:eastAsia="en-US"/>
              </w:rPr>
              <w:t xml:space="preserve">outstanding </w:t>
            </w:r>
            <w:r w:rsidR="00D9051C">
              <w:rPr>
                <w:color w:val="auto"/>
                <w:lang w:eastAsia="en-US"/>
              </w:rPr>
              <w:t>action points</w:t>
            </w:r>
          </w:p>
        </w:tc>
        <w:tc>
          <w:tcPr>
            <w:tcW w:w="7796" w:type="dxa"/>
          </w:tcPr>
          <w:p w:rsidR="008D3D80" w:rsidRDefault="009353FE" w:rsidP="008D3D80">
            <w:pPr>
              <w:pStyle w:val="ListParagraph"/>
              <w:numPr>
                <w:ilvl w:val="0"/>
                <w:numId w:val="35"/>
              </w:numPr>
              <w:spacing w:before="120" w:after="120" w:line="300" w:lineRule="auto"/>
              <w:rPr>
                <w:color w:val="000000" w:themeColor="text1"/>
              </w:rPr>
            </w:pPr>
            <w:r w:rsidRPr="008D3D80">
              <w:rPr>
                <w:color w:val="000000" w:themeColor="text1"/>
              </w:rPr>
              <w:t>The previous note</w:t>
            </w:r>
            <w:r w:rsidR="00397D5C" w:rsidRPr="008D3D80">
              <w:rPr>
                <w:color w:val="000000" w:themeColor="text1"/>
              </w:rPr>
              <w:t>s and outstanding actions were reviewed</w:t>
            </w:r>
            <w:r w:rsidR="00E65A16" w:rsidRPr="008D3D80">
              <w:rPr>
                <w:color w:val="000000" w:themeColor="text1"/>
              </w:rPr>
              <w:t xml:space="preserve">.  </w:t>
            </w:r>
          </w:p>
          <w:p w:rsidR="008D3D80" w:rsidRDefault="008D3D80" w:rsidP="008D3D80">
            <w:pPr>
              <w:pStyle w:val="ListParagraph"/>
              <w:numPr>
                <w:ilvl w:val="0"/>
                <w:numId w:val="35"/>
              </w:numPr>
              <w:spacing w:before="120" w:after="120" w:line="300" w:lineRule="auto"/>
              <w:rPr>
                <w:color w:val="000000" w:themeColor="text1"/>
              </w:rPr>
            </w:pPr>
            <w:r>
              <w:rPr>
                <w:color w:val="000000" w:themeColor="text1"/>
              </w:rPr>
              <w:t>The Chair asked for a progress report on the action to monitor and review the unallocated pool of cases.  The Director expanded on the activities undertaken and provided clarity on the current position.  The Director assured the meeting that she was satisfied these additional actions met the criteria and intention of the recommendation.</w:t>
            </w:r>
          </w:p>
          <w:p w:rsidR="00053483" w:rsidRPr="008D3D80" w:rsidRDefault="00E65A16" w:rsidP="008D3D80">
            <w:pPr>
              <w:pStyle w:val="ListParagraph"/>
              <w:numPr>
                <w:ilvl w:val="0"/>
                <w:numId w:val="35"/>
              </w:numPr>
              <w:spacing w:before="120" w:after="120" w:line="300" w:lineRule="auto"/>
              <w:rPr>
                <w:color w:val="000000" w:themeColor="text1"/>
              </w:rPr>
            </w:pPr>
            <w:r w:rsidRPr="008D3D80">
              <w:rPr>
                <w:color w:val="000000" w:themeColor="text1"/>
              </w:rPr>
              <w:t>T</w:t>
            </w:r>
            <w:r w:rsidR="00397D5C" w:rsidRPr="008D3D80">
              <w:rPr>
                <w:color w:val="000000" w:themeColor="text1"/>
              </w:rPr>
              <w:t>here were no additional matters arising from the review</w:t>
            </w:r>
            <w:r w:rsidR="009353FE" w:rsidRPr="008D3D80">
              <w:rPr>
                <w:color w:val="000000" w:themeColor="text1"/>
              </w:rPr>
              <w:t>.</w:t>
            </w:r>
          </w:p>
        </w:tc>
        <w:tc>
          <w:tcPr>
            <w:tcW w:w="1559" w:type="dxa"/>
            <w:shd w:val="clear" w:color="auto" w:fill="auto"/>
          </w:tcPr>
          <w:p w:rsidR="009353FE" w:rsidRPr="009353FE" w:rsidRDefault="009353FE" w:rsidP="009353FE">
            <w:pPr>
              <w:spacing w:before="120" w:after="120" w:line="300" w:lineRule="auto"/>
              <w:rPr>
                <w:sz w:val="21"/>
                <w:szCs w:val="21"/>
              </w:rPr>
            </w:pPr>
          </w:p>
        </w:tc>
        <w:tc>
          <w:tcPr>
            <w:tcW w:w="992" w:type="dxa"/>
            <w:shd w:val="clear" w:color="auto" w:fill="auto"/>
          </w:tcPr>
          <w:p w:rsidR="009353FE" w:rsidRPr="009A5A53" w:rsidRDefault="009353FE" w:rsidP="009353FE">
            <w:pPr>
              <w:spacing w:before="120" w:after="120" w:line="300" w:lineRule="auto"/>
              <w:rPr>
                <w:color w:val="000000" w:themeColor="text1"/>
              </w:rPr>
            </w:pPr>
          </w:p>
        </w:tc>
        <w:tc>
          <w:tcPr>
            <w:tcW w:w="956" w:type="dxa"/>
            <w:shd w:val="clear" w:color="auto" w:fill="auto"/>
          </w:tcPr>
          <w:p w:rsidR="009353FE" w:rsidRPr="009A5A53" w:rsidRDefault="009353FE" w:rsidP="0016777E">
            <w:pPr>
              <w:spacing w:before="120" w:after="120" w:line="300" w:lineRule="auto"/>
              <w:rPr>
                <w:color w:val="000000" w:themeColor="text1"/>
              </w:rPr>
            </w:pPr>
          </w:p>
        </w:tc>
      </w:tr>
      <w:tr w:rsidR="00E65A16" w:rsidRPr="009A5A53" w:rsidTr="00A16EED">
        <w:tc>
          <w:tcPr>
            <w:tcW w:w="704" w:type="dxa"/>
          </w:tcPr>
          <w:p w:rsidR="00E65A16" w:rsidRPr="009A5A53" w:rsidRDefault="00E65A16" w:rsidP="00A16EED">
            <w:pPr>
              <w:spacing w:before="120" w:after="120" w:line="300" w:lineRule="auto"/>
              <w:jc w:val="center"/>
              <w:rPr>
                <w:color w:val="000000" w:themeColor="text1"/>
              </w:rPr>
            </w:pPr>
            <w:r w:rsidRPr="009A5A53">
              <w:rPr>
                <w:color w:val="000000" w:themeColor="text1"/>
              </w:rPr>
              <w:t>3.</w:t>
            </w:r>
          </w:p>
        </w:tc>
        <w:tc>
          <w:tcPr>
            <w:tcW w:w="1985" w:type="dxa"/>
            <w:shd w:val="clear" w:color="auto" w:fill="auto"/>
          </w:tcPr>
          <w:p w:rsidR="00E65A16" w:rsidRPr="009A5A53" w:rsidRDefault="00E65A16" w:rsidP="0088033D">
            <w:pPr>
              <w:spacing w:before="120" w:after="120" w:line="300" w:lineRule="auto"/>
              <w:rPr>
                <w:color w:val="000000" w:themeColor="text1"/>
              </w:rPr>
            </w:pPr>
            <w:r>
              <w:rPr>
                <w:lang w:eastAsia="en-US"/>
              </w:rPr>
              <w:t>Financial report</w:t>
            </w:r>
          </w:p>
        </w:tc>
        <w:tc>
          <w:tcPr>
            <w:tcW w:w="7796" w:type="dxa"/>
          </w:tcPr>
          <w:p w:rsidR="00E65A16" w:rsidRPr="005E7625" w:rsidRDefault="008D3D80" w:rsidP="005E7625">
            <w:pPr>
              <w:pStyle w:val="ListParagraph"/>
              <w:numPr>
                <w:ilvl w:val="0"/>
                <w:numId w:val="34"/>
              </w:numPr>
              <w:spacing w:before="120" w:after="120" w:line="300" w:lineRule="auto"/>
              <w:rPr>
                <w:color w:val="000000" w:themeColor="text1"/>
              </w:rPr>
            </w:pPr>
            <w:r>
              <w:rPr>
                <w:color w:val="000000" w:themeColor="text1"/>
              </w:rPr>
              <w:t>The Director provided further background for the various in-year contingency funding requests, and confirmed the SPCB are considering one request which will extend across two financial years.  The Ombudsman used this example to describe the difficulties for medium-term financial planning due to the funding model.</w:t>
            </w:r>
          </w:p>
          <w:p w:rsidR="00E65A16" w:rsidRDefault="00E65A16" w:rsidP="005E7625">
            <w:pPr>
              <w:pStyle w:val="ListParagraph"/>
              <w:numPr>
                <w:ilvl w:val="0"/>
                <w:numId w:val="34"/>
              </w:numPr>
              <w:spacing w:before="120" w:after="120" w:line="300" w:lineRule="auto"/>
              <w:rPr>
                <w:color w:val="000000" w:themeColor="text1"/>
              </w:rPr>
            </w:pPr>
            <w:r w:rsidRPr="005E7625">
              <w:rPr>
                <w:color w:val="000000" w:themeColor="text1"/>
              </w:rPr>
              <w:t>The AAB noted the predicted year-end financial position outlined in the report.</w:t>
            </w:r>
          </w:p>
          <w:p w:rsidR="008D3D80" w:rsidRDefault="008D3D80" w:rsidP="008D3D80">
            <w:pPr>
              <w:pStyle w:val="ListParagraph"/>
              <w:numPr>
                <w:ilvl w:val="0"/>
                <w:numId w:val="34"/>
              </w:numPr>
              <w:spacing w:before="120" w:after="120" w:line="300" w:lineRule="auto"/>
              <w:rPr>
                <w:color w:val="000000" w:themeColor="text1"/>
              </w:rPr>
            </w:pPr>
            <w:r>
              <w:rPr>
                <w:color w:val="000000" w:themeColor="text1"/>
              </w:rPr>
              <w:t>The Ombudsman noted to the meeting the shared services arrangements with the Biometrics Commissioner which is hoped to provide an effective cost saving model for the SPCB.</w:t>
            </w:r>
          </w:p>
          <w:p w:rsidR="008D3D80" w:rsidRDefault="008D3D80" w:rsidP="008D3D80">
            <w:pPr>
              <w:pStyle w:val="ListParagraph"/>
              <w:numPr>
                <w:ilvl w:val="0"/>
                <w:numId w:val="34"/>
              </w:numPr>
              <w:spacing w:before="120" w:after="120" w:line="300" w:lineRule="auto"/>
              <w:rPr>
                <w:color w:val="000000" w:themeColor="text1"/>
              </w:rPr>
            </w:pPr>
            <w:r>
              <w:rPr>
                <w:color w:val="000000" w:themeColor="text1"/>
              </w:rPr>
              <w:t>The Ombudsman provided an update on the additional function resulting from the Scottish Government work on developing systems of child-friendly complaints, remedy and redress.  The Scottish Government is funding a project for SPSO to lead, building on our experience from developing the INWO function, and collaborating with CYPCS and other agencies</w:t>
            </w:r>
            <w:r w:rsidRPr="008D3D80">
              <w:rPr>
                <w:color w:val="000000" w:themeColor="text1"/>
              </w:rPr>
              <w:t>.</w:t>
            </w:r>
          </w:p>
          <w:p w:rsidR="008D3D80" w:rsidRPr="008D3D80" w:rsidRDefault="008D3D80" w:rsidP="008D3D80">
            <w:pPr>
              <w:pStyle w:val="ListParagraph"/>
              <w:numPr>
                <w:ilvl w:val="0"/>
                <w:numId w:val="34"/>
              </w:numPr>
              <w:spacing w:before="120" w:after="120" w:line="300" w:lineRule="auto"/>
              <w:rPr>
                <w:color w:val="000000" w:themeColor="text1"/>
              </w:rPr>
            </w:pPr>
            <w:r>
              <w:rPr>
                <w:color w:val="000000" w:themeColor="text1"/>
              </w:rPr>
              <w:t>The Chair noted the low 10-day payment performance.  The CSM provided some background to the challenges for SPSO to meet this target and noted that it would be interesting to know how other Public Body performed against this target.  The Chair asked the Auditors to share what they may have experienced in their work, and the Internal Auditor noted that in most cases there has been an improvement in efficiencies in this area.  The Chair noted that there may be learnings from other public bodies for SPSO to improve this performance.</w:t>
            </w:r>
          </w:p>
        </w:tc>
        <w:tc>
          <w:tcPr>
            <w:tcW w:w="1559" w:type="dxa"/>
          </w:tcPr>
          <w:p w:rsidR="00E65A16" w:rsidRPr="00A16EED" w:rsidRDefault="008D3D80" w:rsidP="00A16EED">
            <w:pPr>
              <w:spacing w:before="120" w:after="120" w:line="300" w:lineRule="auto"/>
              <w:rPr>
                <w:color w:val="000000" w:themeColor="text1"/>
              </w:rPr>
            </w:pPr>
            <w:r w:rsidRPr="00A16EED">
              <w:rPr>
                <w:color w:val="000000" w:themeColor="text1"/>
              </w:rPr>
              <w:t>Further scrutiny and development of payment performance efficiency.</w:t>
            </w:r>
          </w:p>
        </w:tc>
        <w:tc>
          <w:tcPr>
            <w:tcW w:w="992" w:type="dxa"/>
          </w:tcPr>
          <w:p w:rsidR="00E65A16" w:rsidRPr="009A5A53" w:rsidRDefault="008D3D80" w:rsidP="0088033D">
            <w:pPr>
              <w:spacing w:before="120" w:after="120" w:line="300" w:lineRule="auto"/>
              <w:rPr>
                <w:color w:val="000000" w:themeColor="text1"/>
              </w:rPr>
            </w:pPr>
            <w:r>
              <w:rPr>
                <w:color w:val="000000" w:themeColor="text1"/>
              </w:rPr>
              <w:t>Mar 22</w:t>
            </w:r>
          </w:p>
        </w:tc>
        <w:tc>
          <w:tcPr>
            <w:tcW w:w="956" w:type="dxa"/>
          </w:tcPr>
          <w:p w:rsidR="00E65A16" w:rsidRPr="009A5A53" w:rsidRDefault="008D3D80" w:rsidP="0088033D">
            <w:pPr>
              <w:spacing w:before="120" w:after="120" w:line="300" w:lineRule="auto"/>
              <w:rPr>
                <w:color w:val="000000" w:themeColor="text1"/>
              </w:rPr>
            </w:pPr>
            <w:r>
              <w:rPr>
                <w:color w:val="000000" w:themeColor="text1"/>
              </w:rPr>
              <w:t>CSM</w:t>
            </w:r>
          </w:p>
        </w:tc>
      </w:tr>
      <w:tr w:rsidR="00B05DC7" w:rsidRPr="009A5A53" w:rsidTr="00A16E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 w:type="dxa"/>
          </w:tcPr>
          <w:p w:rsidR="00B05DC7" w:rsidRPr="009A5A53" w:rsidRDefault="00B05DC7" w:rsidP="00A16EED">
            <w:pPr>
              <w:spacing w:before="120" w:after="120" w:line="300" w:lineRule="auto"/>
              <w:jc w:val="center"/>
              <w:rPr>
                <w:color w:val="000000" w:themeColor="text1"/>
              </w:rPr>
            </w:pPr>
            <w:r w:rsidRPr="009A5A53">
              <w:rPr>
                <w:color w:val="000000" w:themeColor="text1"/>
              </w:rPr>
              <w:t>4.</w:t>
            </w:r>
          </w:p>
        </w:tc>
        <w:tc>
          <w:tcPr>
            <w:tcW w:w="1985" w:type="dxa"/>
          </w:tcPr>
          <w:p w:rsidR="00B05DC7" w:rsidRPr="009A5A53" w:rsidRDefault="00B05DC7" w:rsidP="001D3E6A">
            <w:pPr>
              <w:spacing w:before="120" w:after="120" w:line="300" w:lineRule="auto"/>
              <w:rPr>
                <w:color w:val="000000" w:themeColor="text1"/>
              </w:rPr>
            </w:pPr>
            <w:r>
              <w:rPr>
                <w:lang w:eastAsia="en-US"/>
              </w:rPr>
              <w:t>External Audit report</w:t>
            </w:r>
          </w:p>
        </w:tc>
        <w:tc>
          <w:tcPr>
            <w:tcW w:w="7796" w:type="dxa"/>
          </w:tcPr>
          <w:p w:rsidR="008D3D80" w:rsidRDefault="008D3D80" w:rsidP="007E7056">
            <w:pPr>
              <w:spacing w:before="120" w:after="120" w:line="300" w:lineRule="auto"/>
              <w:rPr>
                <w:b/>
                <w:color w:val="000000" w:themeColor="text1"/>
              </w:rPr>
            </w:pPr>
            <w:r>
              <w:rPr>
                <w:b/>
                <w:color w:val="000000" w:themeColor="text1"/>
              </w:rPr>
              <w:t>SPSO Annual Report and Accounts 2020-21</w:t>
            </w:r>
          </w:p>
          <w:p w:rsidR="008D3D80" w:rsidRDefault="008D3D80" w:rsidP="008D3D80">
            <w:pPr>
              <w:pStyle w:val="ListParagraph"/>
              <w:numPr>
                <w:ilvl w:val="0"/>
                <w:numId w:val="37"/>
              </w:numPr>
              <w:spacing w:before="120" w:after="120" w:line="300" w:lineRule="auto"/>
              <w:rPr>
                <w:color w:val="000000" w:themeColor="text1"/>
              </w:rPr>
            </w:pPr>
            <w:r>
              <w:rPr>
                <w:color w:val="000000" w:themeColor="text1"/>
              </w:rPr>
              <w:t>The AAB noted the process for comment and finalisation was efficient and worked well.  There were no further comments to add other than those made on the draft document.</w:t>
            </w:r>
          </w:p>
          <w:p w:rsidR="008D3D80" w:rsidRDefault="008D3D80" w:rsidP="008D3D80">
            <w:pPr>
              <w:pStyle w:val="ListParagraph"/>
              <w:numPr>
                <w:ilvl w:val="0"/>
                <w:numId w:val="37"/>
              </w:numPr>
              <w:spacing w:before="120" w:after="120" w:line="300" w:lineRule="auto"/>
              <w:rPr>
                <w:color w:val="000000" w:themeColor="text1"/>
              </w:rPr>
            </w:pPr>
            <w:r>
              <w:rPr>
                <w:color w:val="000000" w:themeColor="text1"/>
              </w:rPr>
              <w:t>The AAB commented that the report read well with a balanced presentation and clear language.</w:t>
            </w:r>
          </w:p>
          <w:p w:rsidR="007E7056" w:rsidRPr="007E7056" w:rsidRDefault="007E7056" w:rsidP="007E7056">
            <w:pPr>
              <w:spacing w:before="120" w:after="120" w:line="300" w:lineRule="auto"/>
              <w:rPr>
                <w:b/>
                <w:color w:val="000000" w:themeColor="text1"/>
              </w:rPr>
            </w:pPr>
            <w:r w:rsidRPr="007E7056">
              <w:rPr>
                <w:b/>
                <w:color w:val="000000" w:themeColor="text1"/>
              </w:rPr>
              <w:t xml:space="preserve">External Auditor’s </w:t>
            </w:r>
            <w:r w:rsidR="0033142D">
              <w:rPr>
                <w:b/>
                <w:color w:val="000000" w:themeColor="text1"/>
              </w:rPr>
              <w:t>Report 20</w:t>
            </w:r>
            <w:r w:rsidRPr="007E7056">
              <w:rPr>
                <w:b/>
                <w:color w:val="000000" w:themeColor="text1"/>
              </w:rPr>
              <w:t>20</w:t>
            </w:r>
            <w:r w:rsidR="0033142D">
              <w:rPr>
                <w:b/>
                <w:color w:val="000000" w:themeColor="text1"/>
              </w:rPr>
              <w:t>-21</w:t>
            </w:r>
          </w:p>
          <w:p w:rsidR="008D3D80" w:rsidRPr="008D3D80" w:rsidRDefault="008D3D80" w:rsidP="008D3D80">
            <w:pPr>
              <w:pStyle w:val="ListParagraph"/>
              <w:numPr>
                <w:ilvl w:val="0"/>
                <w:numId w:val="37"/>
              </w:numPr>
              <w:spacing w:before="120" w:after="120" w:line="300" w:lineRule="auto"/>
              <w:rPr>
                <w:color w:val="000000" w:themeColor="text1"/>
              </w:rPr>
            </w:pPr>
            <w:r>
              <w:rPr>
                <w:color w:val="000000" w:themeColor="text1"/>
              </w:rPr>
              <w:t xml:space="preserve">The External Auditor concurred with the AAB comments, and endorsed the quality of the </w:t>
            </w:r>
            <w:r w:rsidRPr="008D3D80">
              <w:rPr>
                <w:color w:val="000000" w:themeColor="text1"/>
              </w:rPr>
              <w:t>SPSO Annual Report and Accounts 2020-21</w:t>
            </w:r>
            <w:r>
              <w:rPr>
                <w:color w:val="000000" w:themeColor="text1"/>
              </w:rPr>
              <w:t>, giving an unmodified opinion.</w:t>
            </w:r>
          </w:p>
          <w:p w:rsidR="007E7056" w:rsidRDefault="007E7056" w:rsidP="008D3D80">
            <w:pPr>
              <w:pStyle w:val="ListParagraph"/>
              <w:numPr>
                <w:ilvl w:val="0"/>
                <w:numId w:val="37"/>
              </w:numPr>
              <w:spacing w:before="120" w:after="120" w:line="300" w:lineRule="auto"/>
              <w:rPr>
                <w:color w:val="000000" w:themeColor="text1"/>
              </w:rPr>
            </w:pPr>
            <w:r w:rsidRPr="008D3D80">
              <w:rPr>
                <w:color w:val="000000" w:themeColor="text1"/>
              </w:rPr>
              <w:t xml:space="preserve">The </w:t>
            </w:r>
            <w:r w:rsidR="00B05DC7" w:rsidRPr="008D3D80">
              <w:rPr>
                <w:color w:val="000000" w:themeColor="text1"/>
              </w:rPr>
              <w:t xml:space="preserve">Auditor </w:t>
            </w:r>
            <w:r w:rsidR="008D3D80">
              <w:rPr>
                <w:color w:val="000000" w:themeColor="text1"/>
              </w:rPr>
              <w:t>drew attention to the two recommendations in the report and offered resource to assist the SPSO implementing them in a proportionate way.</w:t>
            </w:r>
            <w:r w:rsidR="0033142D" w:rsidRPr="008D3D80">
              <w:rPr>
                <w:color w:val="000000" w:themeColor="text1"/>
              </w:rPr>
              <w:t xml:space="preserve"> </w:t>
            </w:r>
          </w:p>
          <w:p w:rsidR="008D3D80" w:rsidRDefault="008D3D80" w:rsidP="008D3D80">
            <w:pPr>
              <w:pStyle w:val="ListParagraph"/>
              <w:numPr>
                <w:ilvl w:val="0"/>
                <w:numId w:val="37"/>
              </w:numPr>
              <w:spacing w:before="120" w:after="120" w:line="300" w:lineRule="auto"/>
              <w:rPr>
                <w:color w:val="000000" w:themeColor="text1"/>
              </w:rPr>
            </w:pPr>
            <w:r>
              <w:rPr>
                <w:color w:val="000000" w:themeColor="text1"/>
              </w:rPr>
              <w:t>The AAB noted these were similar recommendations to other organisations.  It was also noted that these would be useful undertakings, particularly as the organisation has been through a prolonged period of continual change.  These activities could also provide documented support to explicitly address the risks of resource and capacity.</w:t>
            </w:r>
          </w:p>
          <w:p w:rsidR="008D3D80" w:rsidRDefault="008D3D80" w:rsidP="008D3D80">
            <w:pPr>
              <w:pStyle w:val="ListParagraph"/>
              <w:numPr>
                <w:ilvl w:val="0"/>
                <w:numId w:val="37"/>
              </w:numPr>
              <w:spacing w:before="120" w:after="120" w:line="300" w:lineRule="auto"/>
              <w:rPr>
                <w:color w:val="000000" w:themeColor="text1"/>
              </w:rPr>
            </w:pPr>
            <w:r>
              <w:rPr>
                <w:color w:val="000000" w:themeColor="text1"/>
              </w:rPr>
              <w:t>The AAB commented that when assessing the fraud risk in the organisation that there was no incentive, and the risk is more likely to be error-based.</w:t>
            </w:r>
          </w:p>
          <w:p w:rsidR="00B05DC7" w:rsidRPr="0033142D" w:rsidRDefault="008D3D80" w:rsidP="008D3D80">
            <w:pPr>
              <w:pStyle w:val="ListParagraph"/>
              <w:numPr>
                <w:ilvl w:val="0"/>
                <w:numId w:val="37"/>
              </w:numPr>
              <w:spacing w:before="120" w:after="120" w:line="300" w:lineRule="auto"/>
              <w:rPr>
                <w:color w:val="000000" w:themeColor="text1"/>
              </w:rPr>
            </w:pPr>
            <w:r>
              <w:rPr>
                <w:color w:val="000000" w:themeColor="text1"/>
              </w:rPr>
              <w:t>The Chair expressed his thanks to the Auditors for their work and the report.</w:t>
            </w:r>
          </w:p>
        </w:tc>
        <w:tc>
          <w:tcPr>
            <w:tcW w:w="1559" w:type="dxa"/>
          </w:tcPr>
          <w:p w:rsidR="00B05DC7" w:rsidRPr="009A5A53" w:rsidRDefault="00B05DC7" w:rsidP="001D3E6A">
            <w:pPr>
              <w:spacing w:before="120" w:after="120" w:line="300" w:lineRule="auto"/>
              <w:rPr>
                <w:color w:val="000000" w:themeColor="text1"/>
              </w:rPr>
            </w:pPr>
          </w:p>
        </w:tc>
        <w:tc>
          <w:tcPr>
            <w:tcW w:w="992" w:type="dxa"/>
          </w:tcPr>
          <w:p w:rsidR="00B05DC7" w:rsidRPr="009A5A53" w:rsidRDefault="00B05DC7" w:rsidP="001D3E6A">
            <w:pPr>
              <w:spacing w:before="120" w:after="120" w:line="300" w:lineRule="auto"/>
              <w:rPr>
                <w:color w:val="000000" w:themeColor="text1"/>
              </w:rPr>
            </w:pPr>
          </w:p>
        </w:tc>
        <w:tc>
          <w:tcPr>
            <w:tcW w:w="956" w:type="dxa"/>
          </w:tcPr>
          <w:p w:rsidR="00B05DC7" w:rsidRPr="009A5A53" w:rsidRDefault="00B05DC7" w:rsidP="001D3E6A">
            <w:pPr>
              <w:spacing w:before="120" w:after="120" w:line="300" w:lineRule="auto"/>
              <w:rPr>
                <w:color w:val="000000" w:themeColor="text1"/>
              </w:rPr>
            </w:pPr>
          </w:p>
        </w:tc>
      </w:tr>
      <w:tr w:rsidR="0016777E" w:rsidRPr="009A5A53" w:rsidTr="00A16EED">
        <w:tc>
          <w:tcPr>
            <w:tcW w:w="704" w:type="dxa"/>
          </w:tcPr>
          <w:p w:rsidR="009353FE" w:rsidRPr="009A5A53" w:rsidRDefault="009353FE" w:rsidP="00A16EED">
            <w:pPr>
              <w:spacing w:before="120" w:after="120" w:line="300" w:lineRule="auto"/>
              <w:jc w:val="center"/>
              <w:rPr>
                <w:color w:val="000000" w:themeColor="text1"/>
              </w:rPr>
            </w:pPr>
            <w:r w:rsidRPr="009A5A53">
              <w:rPr>
                <w:color w:val="000000" w:themeColor="text1"/>
              </w:rPr>
              <w:t>5.</w:t>
            </w:r>
          </w:p>
        </w:tc>
        <w:tc>
          <w:tcPr>
            <w:tcW w:w="1985" w:type="dxa"/>
            <w:shd w:val="clear" w:color="auto" w:fill="auto"/>
          </w:tcPr>
          <w:p w:rsidR="009353FE" w:rsidRPr="009A5A53" w:rsidRDefault="009353FE" w:rsidP="009353FE">
            <w:pPr>
              <w:spacing w:before="120" w:after="120" w:line="300" w:lineRule="auto"/>
              <w:rPr>
                <w:color w:val="000000" w:themeColor="text1"/>
              </w:rPr>
            </w:pPr>
            <w:r>
              <w:rPr>
                <w:lang w:eastAsia="en-US"/>
              </w:rPr>
              <w:t>Internal Audit report</w:t>
            </w:r>
          </w:p>
        </w:tc>
        <w:tc>
          <w:tcPr>
            <w:tcW w:w="7796" w:type="dxa"/>
          </w:tcPr>
          <w:p w:rsidR="0033142D" w:rsidRPr="008D3D80" w:rsidRDefault="0033142D" w:rsidP="008D3D80">
            <w:pPr>
              <w:pStyle w:val="ListParagraph"/>
              <w:numPr>
                <w:ilvl w:val="0"/>
                <w:numId w:val="38"/>
              </w:numPr>
              <w:spacing w:before="120" w:after="120" w:line="300" w:lineRule="auto"/>
              <w:rPr>
                <w:color w:val="000000" w:themeColor="text1"/>
              </w:rPr>
            </w:pPr>
            <w:r w:rsidRPr="008D3D80">
              <w:rPr>
                <w:color w:val="000000" w:themeColor="text1"/>
              </w:rPr>
              <w:t>T</w:t>
            </w:r>
            <w:r w:rsidR="007E7056" w:rsidRPr="008D3D80">
              <w:rPr>
                <w:color w:val="000000" w:themeColor="text1"/>
              </w:rPr>
              <w:t xml:space="preserve">he Internal Auditor </w:t>
            </w:r>
            <w:r w:rsidRPr="008D3D80">
              <w:rPr>
                <w:color w:val="000000" w:themeColor="text1"/>
              </w:rPr>
              <w:t xml:space="preserve">presented the </w:t>
            </w:r>
            <w:r w:rsidR="008D3D80">
              <w:rPr>
                <w:color w:val="000000" w:themeColor="text1"/>
              </w:rPr>
              <w:t>Annual R</w:t>
            </w:r>
            <w:r w:rsidRPr="008D3D80">
              <w:rPr>
                <w:color w:val="000000" w:themeColor="text1"/>
              </w:rPr>
              <w:t xml:space="preserve">eport for 2020-21 and the </w:t>
            </w:r>
            <w:r w:rsidR="005E7625" w:rsidRPr="008D3D80">
              <w:rPr>
                <w:color w:val="000000" w:themeColor="text1"/>
              </w:rPr>
              <w:t xml:space="preserve">first </w:t>
            </w:r>
            <w:r w:rsidRPr="008D3D80">
              <w:rPr>
                <w:color w:val="000000" w:themeColor="text1"/>
              </w:rPr>
              <w:t xml:space="preserve">activity </w:t>
            </w:r>
            <w:r w:rsidR="005E7625" w:rsidRPr="008D3D80">
              <w:rPr>
                <w:color w:val="000000" w:themeColor="text1"/>
              </w:rPr>
              <w:t xml:space="preserve">report </w:t>
            </w:r>
            <w:r w:rsidRPr="008D3D80">
              <w:rPr>
                <w:color w:val="000000" w:themeColor="text1"/>
              </w:rPr>
              <w:t>for 2021-22</w:t>
            </w:r>
            <w:r w:rsidR="008D3D80" w:rsidRPr="008D3D80">
              <w:rPr>
                <w:color w:val="000000" w:themeColor="text1"/>
              </w:rPr>
              <w:t xml:space="preserve"> to the AAB</w:t>
            </w:r>
            <w:r w:rsidRPr="008D3D80">
              <w:rPr>
                <w:color w:val="000000" w:themeColor="text1"/>
              </w:rPr>
              <w:t>.</w:t>
            </w:r>
          </w:p>
          <w:p w:rsidR="008D3D80" w:rsidRDefault="008D3D80" w:rsidP="00041ABD">
            <w:pPr>
              <w:pStyle w:val="ListParagraph"/>
              <w:numPr>
                <w:ilvl w:val="0"/>
                <w:numId w:val="25"/>
              </w:numPr>
              <w:spacing w:before="120" w:after="120" w:line="300" w:lineRule="auto"/>
              <w:rPr>
                <w:color w:val="000000" w:themeColor="text1"/>
              </w:rPr>
            </w:pPr>
            <w:r>
              <w:rPr>
                <w:color w:val="000000" w:themeColor="text1"/>
              </w:rPr>
              <w:t xml:space="preserve">The </w:t>
            </w:r>
            <w:r w:rsidR="00041ABD">
              <w:rPr>
                <w:color w:val="000000" w:themeColor="text1"/>
              </w:rPr>
              <w:t>Audit</w:t>
            </w:r>
            <w:r>
              <w:rPr>
                <w:color w:val="000000" w:themeColor="text1"/>
              </w:rPr>
              <w:t>or noted from the Annual Report that the SPSO had adequate and effective risk management, control and governance processes to achieve their objectives.</w:t>
            </w:r>
          </w:p>
          <w:p w:rsidR="006D63BE" w:rsidRDefault="006D63BE" w:rsidP="006D63BE">
            <w:pPr>
              <w:pStyle w:val="ListParagraph"/>
              <w:numPr>
                <w:ilvl w:val="0"/>
                <w:numId w:val="25"/>
              </w:numPr>
              <w:spacing w:before="120" w:after="120" w:line="300" w:lineRule="auto"/>
              <w:rPr>
                <w:color w:val="000000" w:themeColor="text1"/>
              </w:rPr>
            </w:pPr>
            <w:r>
              <w:rPr>
                <w:color w:val="000000" w:themeColor="text1"/>
              </w:rPr>
              <w:t>Responding to a question from AAB, the Auditor explained for 2021-22 they</w:t>
            </w:r>
            <w:r w:rsidRPr="006D63BE">
              <w:rPr>
                <w:color w:val="000000" w:themeColor="text1"/>
              </w:rPr>
              <w:t xml:space="preserve"> will capture the qualitative performance of internal audit through assignment feedback questionnaires</w:t>
            </w:r>
            <w:r>
              <w:rPr>
                <w:color w:val="000000" w:themeColor="text1"/>
              </w:rPr>
              <w:t>,</w:t>
            </w:r>
            <w:r w:rsidRPr="006D63BE">
              <w:rPr>
                <w:color w:val="000000" w:themeColor="text1"/>
              </w:rPr>
              <w:t xml:space="preserve"> and reporting the findings within the annual internal audit report.</w:t>
            </w:r>
          </w:p>
          <w:p w:rsidR="0033142D" w:rsidRDefault="00041ABD" w:rsidP="008D3D80">
            <w:pPr>
              <w:pStyle w:val="ListParagraph"/>
              <w:numPr>
                <w:ilvl w:val="0"/>
                <w:numId w:val="25"/>
              </w:numPr>
              <w:spacing w:before="120" w:after="120" w:line="300" w:lineRule="auto"/>
              <w:rPr>
                <w:color w:val="000000" w:themeColor="text1"/>
              </w:rPr>
            </w:pPr>
            <w:r>
              <w:rPr>
                <w:color w:val="000000" w:themeColor="text1"/>
              </w:rPr>
              <w:t xml:space="preserve"> </w:t>
            </w:r>
            <w:r w:rsidR="008D3D80">
              <w:rPr>
                <w:color w:val="000000" w:themeColor="text1"/>
              </w:rPr>
              <w:t>Accounting, Budgeting and Monitoring – This audit activity concluded that there was a strong level of assurance over the SPSO’s arrangements, and that the processes are robust and fit for purpose.  The Auditor offered to provide examples of good practice for the implementation of the recommendation from the report.</w:t>
            </w:r>
          </w:p>
          <w:p w:rsidR="008D3D80" w:rsidRDefault="008D3D80" w:rsidP="008D3D80">
            <w:pPr>
              <w:pStyle w:val="ListParagraph"/>
              <w:numPr>
                <w:ilvl w:val="0"/>
                <w:numId w:val="25"/>
              </w:numPr>
              <w:spacing w:before="120" w:after="120" w:line="300" w:lineRule="auto"/>
              <w:rPr>
                <w:color w:val="000000" w:themeColor="text1"/>
              </w:rPr>
            </w:pPr>
            <w:r>
              <w:rPr>
                <w:color w:val="000000" w:themeColor="text1"/>
              </w:rPr>
              <w:t>The AAB asked about the sensitivity testing undertaken to assure the flexibility of the budgeting process.  The Auditor noted the in-year changes made in response to the emerging C-19 incident, which demonstrated flexibility and responsiveness to the arising needs.</w:t>
            </w:r>
          </w:p>
          <w:p w:rsidR="006D63BE" w:rsidRPr="006D63BE" w:rsidRDefault="008D3D80" w:rsidP="006D63BE">
            <w:pPr>
              <w:pStyle w:val="ListParagraph"/>
              <w:numPr>
                <w:ilvl w:val="0"/>
                <w:numId w:val="25"/>
              </w:numPr>
              <w:spacing w:before="120" w:after="120" w:line="300" w:lineRule="auto"/>
              <w:rPr>
                <w:color w:val="000000" w:themeColor="text1"/>
              </w:rPr>
            </w:pPr>
            <w:r>
              <w:rPr>
                <w:color w:val="000000" w:themeColor="text1"/>
              </w:rPr>
              <w:t>The External Auditor noted the move to outcome focussed budgeting by Audit Scotland, in light of it being the 10</w:t>
            </w:r>
            <w:r w:rsidRPr="008D3D80">
              <w:rPr>
                <w:color w:val="000000" w:themeColor="text1"/>
                <w:vertAlign w:val="superscript"/>
              </w:rPr>
              <w:t>th</w:t>
            </w:r>
            <w:r>
              <w:rPr>
                <w:color w:val="000000" w:themeColor="text1"/>
              </w:rPr>
              <w:t xml:space="preserve"> anniversary of the Christie Report.</w:t>
            </w:r>
          </w:p>
        </w:tc>
        <w:tc>
          <w:tcPr>
            <w:tcW w:w="1559" w:type="dxa"/>
          </w:tcPr>
          <w:p w:rsidR="007E7056" w:rsidRPr="007E7056" w:rsidRDefault="007E7056" w:rsidP="008D3D80">
            <w:pPr>
              <w:pStyle w:val="ListParagraph"/>
              <w:spacing w:before="120" w:after="120" w:line="300" w:lineRule="auto"/>
              <w:ind w:left="360"/>
              <w:rPr>
                <w:color w:val="000000" w:themeColor="text1"/>
              </w:rPr>
            </w:pPr>
          </w:p>
        </w:tc>
        <w:tc>
          <w:tcPr>
            <w:tcW w:w="992" w:type="dxa"/>
          </w:tcPr>
          <w:p w:rsidR="009353FE" w:rsidRPr="007E7056" w:rsidRDefault="009353FE" w:rsidP="007E7056">
            <w:pPr>
              <w:spacing w:before="120" w:after="120" w:line="300" w:lineRule="auto"/>
              <w:rPr>
                <w:color w:val="000000" w:themeColor="text1"/>
              </w:rPr>
            </w:pPr>
          </w:p>
        </w:tc>
        <w:tc>
          <w:tcPr>
            <w:tcW w:w="956" w:type="dxa"/>
          </w:tcPr>
          <w:p w:rsidR="007E7056" w:rsidRPr="007E7056" w:rsidRDefault="007E7056" w:rsidP="008D3D80">
            <w:pPr>
              <w:pStyle w:val="ListParagraph"/>
              <w:spacing w:before="120" w:after="120" w:line="300" w:lineRule="auto"/>
              <w:ind w:left="360"/>
              <w:rPr>
                <w:color w:val="000000" w:themeColor="text1"/>
              </w:rPr>
            </w:pPr>
          </w:p>
        </w:tc>
      </w:tr>
      <w:tr w:rsidR="0016777E" w:rsidRPr="009A5A53" w:rsidTr="00A16EED">
        <w:tc>
          <w:tcPr>
            <w:tcW w:w="704" w:type="dxa"/>
          </w:tcPr>
          <w:p w:rsidR="009353FE" w:rsidRPr="009A5A53" w:rsidRDefault="009353FE" w:rsidP="00A16EED">
            <w:pPr>
              <w:spacing w:before="120" w:after="120" w:line="300" w:lineRule="auto"/>
              <w:jc w:val="center"/>
              <w:rPr>
                <w:color w:val="000000" w:themeColor="text1"/>
              </w:rPr>
            </w:pPr>
            <w:r w:rsidRPr="009A5A53">
              <w:rPr>
                <w:color w:val="000000" w:themeColor="text1"/>
              </w:rPr>
              <w:t>6.</w:t>
            </w:r>
          </w:p>
        </w:tc>
        <w:tc>
          <w:tcPr>
            <w:tcW w:w="1985" w:type="dxa"/>
            <w:shd w:val="clear" w:color="auto" w:fill="auto"/>
          </w:tcPr>
          <w:p w:rsidR="009353FE" w:rsidRPr="009A5A53" w:rsidRDefault="009353FE" w:rsidP="009353FE">
            <w:pPr>
              <w:spacing w:before="120" w:after="120" w:line="300" w:lineRule="auto"/>
              <w:rPr>
                <w:color w:val="000000" w:themeColor="text1"/>
              </w:rPr>
            </w:pPr>
            <w:r>
              <w:rPr>
                <w:lang w:eastAsia="en-US"/>
              </w:rPr>
              <w:t>Risk, Incident and Issues report; including Business Plan performance.</w:t>
            </w:r>
          </w:p>
        </w:tc>
        <w:tc>
          <w:tcPr>
            <w:tcW w:w="7796" w:type="dxa"/>
          </w:tcPr>
          <w:p w:rsidR="008D3D80" w:rsidRDefault="007E7056" w:rsidP="008D3D80">
            <w:pPr>
              <w:pStyle w:val="ListParagraph"/>
              <w:numPr>
                <w:ilvl w:val="0"/>
                <w:numId w:val="39"/>
              </w:numPr>
              <w:spacing w:before="120" w:after="120" w:line="300" w:lineRule="auto"/>
              <w:rPr>
                <w:color w:val="000000" w:themeColor="text1"/>
              </w:rPr>
            </w:pPr>
            <w:r w:rsidRPr="008D3D80">
              <w:rPr>
                <w:color w:val="000000" w:themeColor="text1"/>
              </w:rPr>
              <w:t xml:space="preserve">The </w:t>
            </w:r>
            <w:r w:rsidR="008D3D80">
              <w:rPr>
                <w:color w:val="000000" w:themeColor="text1"/>
              </w:rPr>
              <w:t>Ombudsman noted that the Business Plan will undergo a fundamental review at the end of Q2, recognising the need to refocus capacity and resource to include the new projects that are time-sensitive.  This will align with a full review of the Strategic Risk Register and Risk Appetite embracing the different functions the SPSO now performs.</w:t>
            </w:r>
          </w:p>
          <w:p w:rsidR="008D3D80" w:rsidRDefault="008D3D80" w:rsidP="008D3D80">
            <w:pPr>
              <w:pStyle w:val="ListParagraph"/>
              <w:numPr>
                <w:ilvl w:val="0"/>
                <w:numId w:val="39"/>
              </w:numPr>
              <w:spacing w:before="120" w:after="120" w:line="300" w:lineRule="auto"/>
              <w:rPr>
                <w:color w:val="000000" w:themeColor="text1"/>
              </w:rPr>
            </w:pPr>
            <w:r>
              <w:rPr>
                <w:color w:val="000000" w:themeColor="text1"/>
              </w:rPr>
              <w:t>The AAB noted that this would be the opportunity to reframe Strategic Risk 6.</w:t>
            </w:r>
          </w:p>
          <w:p w:rsidR="00C34678" w:rsidRPr="008D3D80" w:rsidRDefault="008D3D80" w:rsidP="00041ABD">
            <w:pPr>
              <w:pStyle w:val="ListParagraph"/>
              <w:numPr>
                <w:ilvl w:val="0"/>
                <w:numId w:val="39"/>
              </w:numPr>
              <w:spacing w:before="120" w:after="120" w:line="300" w:lineRule="auto"/>
              <w:rPr>
                <w:color w:val="000000" w:themeColor="text1"/>
              </w:rPr>
            </w:pPr>
            <w:r>
              <w:rPr>
                <w:color w:val="000000" w:themeColor="text1"/>
              </w:rPr>
              <w:t>The AAB noted the three amber operational risks.  The Director noted recent internal and external complaint-handling training is emphasising resolution as soon as possible in the complaint-handling process, providing a better outcome for complainers and reducing the pressure on complaint-handling resources.  The CSM noted the measures in place to provide electronic data security with the IT application.</w:t>
            </w:r>
          </w:p>
        </w:tc>
        <w:tc>
          <w:tcPr>
            <w:tcW w:w="1559" w:type="dxa"/>
          </w:tcPr>
          <w:p w:rsidR="009353FE" w:rsidRPr="009A5A53" w:rsidRDefault="009353FE" w:rsidP="009353FE">
            <w:pPr>
              <w:spacing w:before="120" w:after="120" w:line="300" w:lineRule="auto"/>
              <w:rPr>
                <w:color w:val="000000" w:themeColor="text1"/>
              </w:rPr>
            </w:pPr>
          </w:p>
        </w:tc>
        <w:tc>
          <w:tcPr>
            <w:tcW w:w="992" w:type="dxa"/>
          </w:tcPr>
          <w:p w:rsidR="009353FE" w:rsidRPr="009A5A53" w:rsidRDefault="009353FE" w:rsidP="009353FE">
            <w:pPr>
              <w:spacing w:before="120" w:after="120" w:line="300" w:lineRule="auto"/>
              <w:rPr>
                <w:color w:val="000000" w:themeColor="text1"/>
              </w:rPr>
            </w:pPr>
          </w:p>
        </w:tc>
        <w:tc>
          <w:tcPr>
            <w:tcW w:w="956" w:type="dxa"/>
          </w:tcPr>
          <w:p w:rsidR="009353FE" w:rsidRPr="009A5A53" w:rsidRDefault="009353FE" w:rsidP="009353FE">
            <w:pPr>
              <w:spacing w:before="120" w:after="120" w:line="300" w:lineRule="auto"/>
              <w:rPr>
                <w:color w:val="000000" w:themeColor="text1"/>
              </w:rPr>
            </w:pPr>
          </w:p>
        </w:tc>
      </w:tr>
      <w:tr w:rsidR="00492C4E" w:rsidRPr="009A5A53" w:rsidTr="00A16EED">
        <w:tc>
          <w:tcPr>
            <w:tcW w:w="704" w:type="dxa"/>
          </w:tcPr>
          <w:p w:rsidR="00492C4E" w:rsidRPr="009A5A53" w:rsidRDefault="00492C4E" w:rsidP="00A16EED">
            <w:pPr>
              <w:spacing w:before="120" w:after="120" w:line="300" w:lineRule="auto"/>
              <w:jc w:val="center"/>
              <w:rPr>
                <w:color w:val="000000" w:themeColor="text1"/>
              </w:rPr>
            </w:pPr>
          </w:p>
        </w:tc>
        <w:tc>
          <w:tcPr>
            <w:tcW w:w="1985" w:type="dxa"/>
          </w:tcPr>
          <w:p w:rsidR="00492C4E" w:rsidRPr="009A5A53" w:rsidRDefault="00492C4E" w:rsidP="009353FE">
            <w:pPr>
              <w:spacing w:before="120" w:after="120" w:line="300" w:lineRule="auto"/>
              <w:rPr>
                <w:color w:val="000000" w:themeColor="text1"/>
              </w:rPr>
            </w:pPr>
          </w:p>
        </w:tc>
        <w:tc>
          <w:tcPr>
            <w:tcW w:w="7796" w:type="dxa"/>
          </w:tcPr>
          <w:p w:rsidR="00492C4E" w:rsidRDefault="008D3D80" w:rsidP="008D3D80">
            <w:pPr>
              <w:pStyle w:val="ListParagraph"/>
              <w:spacing w:before="120" w:after="120" w:line="300" w:lineRule="auto"/>
              <w:ind w:left="0"/>
              <w:rPr>
                <w:color w:val="000000" w:themeColor="text1"/>
              </w:rPr>
            </w:pPr>
            <w:r>
              <w:rPr>
                <w:color w:val="000000" w:themeColor="text1"/>
              </w:rPr>
              <w:t>The Chair closed the meeting.</w:t>
            </w:r>
          </w:p>
        </w:tc>
        <w:tc>
          <w:tcPr>
            <w:tcW w:w="1559" w:type="dxa"/>
          </w:tcPr>
          <w:p w:rsidR="00492C4E" w:rsidRPr="009A5A53" w:rsidRDefault="00492C4E" w:rsidP="009353FE">
            <w:pPr>
              <w:spacing w:before="120" w:after="120" w:line="300" w:lineRule="auto"/>
              <w:rPr>
                <w:color w:val="000000" w:themeColor="text1"/>
              </w:rPr>
            </w:pPr>
          </w:p>
        </w:tc>
        <w:tc>
          <w:tcPr>
            <w:tcW w:w="992" w:type="dxa"/>
          </w:tcPr>
          <w:p w:rsidR="00492C4E" w:rsidRPr="009A5A53" w:rsidRDefault="00492C4E" w:rsidP="00057905">
            <w:pPr>
              <w:spacing w:before="120" w:after="120" w:line="300" w:lineRule="auto"/>
              <w:rPr>
                <w:color w:val="000000" w:themeColor="text1"/>
              </w:rPr>
            </w:pPr>
          </w:p>
        </w:tc>
        <w:tc>
          <w:tcPr>
            <w:tcW w:w="956" w:type="dxa"/>
          </w:tcPr>
          <w:p w:rsidR="00492C4E" w:rsidRPr="009A5A53" w:rsidRDefault="00492C4E" w:rsidP="009353FE">
            <w:pPr>
              <w:spacing w:before="120" w:after="120" w:line="300" w:lineRule="auto"/>
              <w:rPr>
                <w:color w:val="000000" w:themeColor="text1"/>
              </w:rPr>
            </w:pPr>
          </w:p>
        </w:tc>
      </w:tr>
    </w:tbl>
    <w:p w:rsidR="00897EFA" w:rsidRDefault="00897EFA" w:rsidP="00897EFA">
      <w:pPr>
        <w:spacing w:before="120" w:after="120" w:line="300" w:lineRule="auto"/>
      </w:pPr>
    </w:p>
    <w:p w:rsidR="00766477" w:rsidRDefault="00897EFA" w:rsidP="00364E3F">
      <w:pPr>
        <w:spacing w:before="120" w:after="120" w:line="300" w:lineRule="auto"/>
      </w:pPr>
      <w:r>
        <w:t xml:space="preserve">Approved for publication </w:t>
      </w:r>
      <w:r w:rsidR="00A16EED">
        <w:t>05</w:t>
      </w:r>
      <w:r w:rsidR="00E14757">
        <w:t xml:space="preserve"> October</w:t>
      </w:r>
      <w:r w:rsidR="00766477" w:rsidRPr="00DA5DF0">
        <w:t xml:space="preserve"> 2021</w:t>
      </w:r>
    </w:p>
    <w:p w:rsidR="0068500C" w:rsidRPr="00E8567A" w:rsidRDefault="00E14757" w:rsidP="00E14757">
      <w:pPr>
        <w:spacing w:before="120" w:after="120" w:line="300" w:lineRule="auto"/>
      </w:pPr>
      <w:r w:rsidRPr="00E14757">
        <w:rPr>
          <w:b/>
        </w:rPr>
        <w:t>Andy Shaw, Chair</w:t>
      </w:r>
    </w:p>
    <w:sectPr w:rsidR="0068500C" w:rsidRPr="00E8567A" w:rsidSect="00F7487F">
      <w:headerReference w:type="default" r:id="rId12"/>
      <w:footerReference w:type="default" r:id="rId13"/>
      <w:headerReference w:type="first" r:id="rId14"/>
      <w:footerReference w:type="first" r:id="rId15"/>
      <w:pgSz w:w="16838" w:h="11906" w:orient="landscape" w:code="9"/>
      <w:pgMar w:top="1418" w:right="1418"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551" w:rsidRDefault="00C17551">
      <w:pPr>
        <w:spacing w:line="240" w:lineRule="auto"/>
      </w:pPr>
      <w:r>
        <w:separator/>
      </w:r>
    </w:p>
  </w:endnote>
  <w:endnote w:type="continuationSeparator" w:id="0">
    <w:p w:rsidR="00C17551" w:rsidRDefault="00C17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F7487F" w:rsidRDefault="00DD43C5" w:rsidP="00F7487F">
    <w:pPr>
      <w:pStyle w:val="Footer"/>
      <w:tabs>
        <w:tab w:val="clear" w:pos="4153"/>
        <w:tab w:val="clear" w:pos="8306"/>
        <w:tab w:val="center" w:pos="4500"/>
        <w:tab w:val="right" w:pos="9000"/>
      </w:tabs>
      <w:jc w:val="center"/>
      <w:rPr>
        <w:color w:val="63B0BB"/>
        <w:sz w:val="20"/>
      </w:rPr>
    </w:pPr>
    <w:r w:rsidRPr="00F7487F">
      <w:rPr>
        <w:color w:val="63B0BB"/>
        <w:sz w:val="20"/>
      </w:rPr>
      <w:t xml:space="preserve">Page </w:t>
    </w:r>
    <w:r w:rsidRPr="00F7487F">
      <w:rPr>
        <w:b/>
        <w:color w:val="63B0BB"/>
        <w:sz w:val="20"/>
      </w:rPr>
      <w:fldChar w:fldCharType="begin"/>
    </w:r>
    <w:r w:rsidRPr="00F7487F">
      <w:rPr>
        <w:b/>
        <w:color w:val="63B0BB"/>
        <w:sz w:val="20"/>
      </w:rPr>
      <w:instrText xml:space="preserve"> PAGE  \* Arabic  \* MERGEFORMAT </w:instrText>
    </w:r>
    <w:r w:rsidRPr="00F7487F">
      <w:rPr>
        <w:b/>
        <w:color w:val="63B0BB"/>
        <w:sz w:val="20"/>
      </w:rPr>
      <w:fldChar w:fldCharType="separate"/>
    </w:r>
    <w:r w:rsidR="00EA7612">
      <w:rPr>
        <w:b/>
        <w:noProof/>
        <w:color w:val="63B0BB"/>
        <w:sz w:val="20"/>
      </w:rPr>
      <w:t>6</w:t>
    </w:r>
    <w:r w:rsidRPr="00F7487F">
      <w:rPr>
        <w:b/>
        <w:color w:val="63B0BB"/>
        <w:sz w:val="20"/>
      </w:rPr>
      <w:fldChar w:fldCharType="end"/>
    </w:r>
    <w:r w:rsidRPr="00F7487F">
      <w:rPr>
        <w:color w:val="63B0BB"/>
        <w:sz w:val="20"/>
      </w:rPr>
      <w:t xml:space="preserve"> of </w:t>
    </w:r>
    <w:r w:rsidRPr="00F7487F">
      <w:rPr>
        <w:b/>
        <w:color w:val="63B0BB"/>
        <w:sz w:val="20"/>
      </w:rPr>
      <w:fldChar w:fldCharType="begin"/>
    </w:r>
    <w:r w:rsidRPr="00F7487F">
      <w:rPr>
        <w:b/>
        <w:color w:val="63B0BB"/>
        <w:sz w:val="20"/>
      </w:rPr>
      <w:instrText xml:space="preserve"> NUMPAGES  \* Arabic  \* MERGEFORMAT </w:instrText>
    </w:r>
    <w:r w:rsidRPr="00F7487F">
      <w:rPr>
        <w:b/>
        <w:color w:val="63B0BB"/>
        <w:sz w:val="20"/>
      </w:rPr>
      <w:fldChar w:fldCharType="separate"/>
    </w:r>
    <w:r w:rsidR="00EA7612">
      <w:rPr>
        <w:b/>
        <w:noProof/>
        <w:color w:val="63B0BB"/>
        <w:sz w:val="20"/>
      </w:rPr>
      <w:t>6</w:t>
    </w:r>
    <w:r w:rsidRPr="00F7487F">
      <w:rPr>
        <w:b/>
        <w:color w:val="63B0B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87F" w:rsidRPr="004E7229" w:rsidRDefault="00F7487F" w:rsidP="00F7487F">
    <w:pPr>
      <w:pStyle w:val="Footer"/>
      <w:tabs>
        <w:tab w:val="clear" w:pos="4153"/>
        <w:tab w:val="clear" w:pos="8306"/>
        <w:tab w:val="center" w:pos="4500"/>
        <w:tab w:val="right" w:pos="9000"/>
      </w:tabs>
      <w:jc w:val="center"/>
      <w:rPr>
        <w:color w:val="000000" w:themeColor="text1"/>
        <w:sz w:val="20"/>
      </w:rPr>
    </w:pPr>
    <w:r w:rsidRPr="004E7229">
      <w:rPr>
        <w:color w:val="000000" w:themeColor="text1"/>
        <w:sz w:val="20"/>
      </w:rPr>
      <w:t xml:space="preserve">Page </w:t>
    </w:r>
    <w:r w:rsidRPr="004E7229">
      <w:rPr>
        <w:b/>
        <w:color w:val="000000" w:themeColor="text1"/>
        <w:sz w:val="20"/>
      </w:rPr>
      <w:fldChar w:fldCharType="begin"/>
    </w:r>
    <w:r w:rsidRPr="004E7229">
      <w:rPr>
        <w:b/>
        <w:color w:val="000000" w:themeColor="text1"/>
        <w:sz w:val="20"/>
      </w:rPr>
      <w:instrText xml:space="preserve"> PAGE  \* Arabic  \* MERGEFORMAT </w:instrText>
    </w:r>
    <w:r w:rsidRPr="004E7229">
      <w:rPr>
        <w:b/>
        <w:color w:val="000000" w:themeColor="text1"/>
        <w:sz w:val="20"/>
      </w:rPr>
      <w:fldChar w:fldCharType="separate"/>
    </w:r>
    <w:r w:rsidR="00A16EED">
      <w:rPr>
        <w:b/>
        <w:noProof/>
        <w:color w:val="000000" w:themeColor="text1"/>
        <w:sz w:val="20"/>
      </w:rPr>
      <w:t>1</w:t>
    </w:r>
    <w:r w:rsidRPr="004E7229">
      <w:rPr>
        <w:b/>
        <w:color w:val="000000" w:themeColor="text1"/>
        <w:sz w:val="20"/>
      </w:rPr>
      <w:fldChar w:fldCharType="end"/>
    </w:r>
    <w:r w:rsidRPr="004E7229">
      <w:rPr>
        <w:color w:val="000000" w:themeColor="text1"/>
        <w:sz w:val="20"/>
      </w:rPr>
      <w:t xml:space="preserve"> of </w:t>
    </w:r>
    <w:r w:rsidRPr="004E7229">
      <w:rPr>
        <w:b/>
        <w:color w:val="000000" w:themeColor="text1"/>
        <w:sz w:val="20"/>
      </w:rPr>
      <w:fldChar w:fldCharType="begin"/>
    </w:r>
    <w:r w:rsidRPr="004E7229">
      <w:rPr>
        <w:b/>
        <w:color w:val="000000" w:themeColor="text1"/>
        <w:sz w:val="20"/>
      </w:rPr>
      <w:instrText xml:space="preserve"> NUMPAGES  \* Arabic  \* MERGEFORMAT </w:instrText>
    </w:r>
    <w:r w:rsidRPr="004E7229">
      <w:rPr>
        <w:b/>
        <w:color w:val="000000" w:themeColor="text1"/>
        <w:sz w:val="20"/>
      </w:rPr>
      <w:fldChar w:fldCharType="separate"/>
    </w:r>
    <w:r w:rsidR="00A16EED">
      <w:rPr>
        <w:b/>
        <w:noProof/>
        <w:color w:val="000000" w:themeColor="text1"/>
        <w:sz w:val="20"/>
      </w:rPr>
      <w:t>6</w:t>
    </w:r>
    <w:r w:rsidRPr="004E7229">
      <w:rPr>
        <w:b/>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551" w:rsidRDefault="00C17551">
      <w:pPr>
        <w:spacing w:line="240" w:lineRule="auto"/>
      </w:pPr>
      <w:r>
        <w:separator/>
      </w:r>
    </w:p>
  </w:footnote>
  <w:footnote w:type="continuationSeparator" w:id="0">
    <w:p w:rsidR="00C17551" w:rsidRDefault="00C175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AF1FD6" w:rsidP="00AF1FD6">
    <w:pPr>
      <w:pStyle w:val="Header"/>
      <w:tabs>
        <w:tab w:val="clear" w:pos="4153"/>
        <w:tab w:val="clear" w:pos="8306"/>
        <w:tab w:val="center" w:pos="4500"/>
        <w:tab w:val="right" w:pos="9000"/>
      </w:tabs>
      <w:jc w:val="right"/>
      <w:rPr>
        <w:sz w:val="20"/>
      </w:rPr>
    </w:pPr>
    <w:r>
      <w:rPr>
        <w:noProof/>
      </w:rPr>
      <w:drawing>
        <wp:anchor distT="0" distB="0" distL="114300" distR="114300" simplePos="0" relativeHeight="251661312" behindDoc="1" locked="0" layoutInCell="1" allowOverlap="1" wp14:anchorId="3EA72D05" wp14:editId="2E7700D1">
          <wp:simplePos x="0" y="0"/>
          <wp:positionH relativeFrom="margin">
            <wp:align>right</wp:align>
          </wp:positionH>
          <wp:positionV relativeFrom="page">
            <wp:posOffset>180340</wp:posOffset>
          </wp:positionV>
          <wp:extent cx="673200" cy="482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header.eps"/>
                  <pic:cNvPicPr/>
                </pic:nvPicPr>
                <pic:blipFill>
                  <a:blip r:embed="rId1">
                    <a:extLst>
                      <a:ext uri="{28A0092B-C50C-407E-A947-70E740481C1C}">
                        <a14:useLocalDpi xmlns:a14="http://schemas.microsoft.com/office/drawing/2010/main" val="0"/>
                      </a:ext>
                    </a:extLst>
                  </a:blip>
                  <a:stretch>
                    <a:fillRect/>
                  </a:stretch>
                </pic:blipFill>
                <pic:spPr>
                  <a:xfrm>
                    <a:off x="0" y="0"/>
                    <a:ext cx="673200" cy="482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D6" w:rsidRPr="00D27136" w:rsidRDefault="00AF1FD6">
    <w:pPr>
      <w:pStyle w:val="Header"/>
      <w:rPr>
        <w:sz w:val="20"/>
        <w:szCs w:val="20"/>
      </w:rPr>
    </w:pPr>
    <w:r w:rsidRPr="00D27136">
      <w:rPr>
        <w:rFonts w:ascii="Calibri" w:eastAsia="Times New Roman" w:hAnsi="Calibri" w:cs="Times New Roman"/>
        <w:noProof/>
        <w:color w:val="auto"/>
        <w:sz w:val="20"/>
        <w:szCs w:val="20"/>
      </w:rPr>
      <w:drawing>
        <wp:anchor distT="0" distB="0" distL="114300" distR="114300" simplePos="0" relativeHeight="251659264" behindDoc="0" locked="0" layoutInCell="1" allowOverlap="1" wp14:anchorId="26673043" wp14:editId="5FB3481D">
          <wp:simplePos x="0" y="0"/>
          <wp:positionH relativeFrom="margin">
            <wp:align>right</wp:align>
          </wp:positionH>
          <wp:positionV relativeFrom="page">
            <wp:posOffset>180340</wp:posOffset>
          </wp:positionV>
          <wp:extent cx="1706400" cy="11448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1144800"/>
                  </a:xfrm>
                  <a:prstGeom prst="rect">
                    <a:avLst/>
                  </a:prstGeom>
                  <a:noFill/>
                </pic:spPr>
              </pic:pic>
            </a:graphicData>
          </a:graphic>
          <wp14:sizeRelH relativeFrom="margin">
            <wp14:pctWidth>0</wp14:pctWidth>
          </wp14:sizeRelH>
          <wp14:sizeRelV relativeFrom="margin">
            <wp14:pctHeight>0</wp14:pctHeight>
          </wp14:sizeRelV>
        </wp:anchor>
      </w:drawing>
    </w:r>
    <w:r w:rsidR="000B52BC" w:rsidRPr="00D27136">
      <w:rPr>
        <w:sz w:val="20"/>
        <w:szCs w:val="20"/>
      </w:rPr>
      <w:t>Paper 2  Advisory Audit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B1366D"/>
    <w:multiLevelType w:val="hybridMultilevel"/>
    <w:tmpl w:val="861A2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40DEB"/>
    <w:multiLevelType w:val="hybridMultilevel"/>
    <w:tmpl w:val="15DA8A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02407"/>
    <w:multiLevelType w:val="hybridMultilevel"/>
    <w:tmpl w:val="4C4A31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531F42"/>
    <w:multiLevelType w:val="hybridMultilevel"/>
    <w:tmpl w:val="69BA67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AC380B"/>
    <w:multiLevelType w:val="multilevel"/>
    <w:tmpl w:val="69D8F934"/>
    <w:styleLink w:val="RA"/>
    <w:lvl w:ilvl="0">
      <w:start w:val="1"/>
      <w:numFmt w:val="decimal"/>
      <w:lvlText w:val="%1."/>
      <w:lvlJc w:val="left"/>
      <w:pPr>
        <w:ind w:left="567" w:hanging="567"/>
      </w:pPr>
      <w:rPr>
        <w:rFonts w:ascii="Arial" w:hAnsi="Arial" w:hint="default"/>
        <w:sz w:val="22"/>
      </w:rPr>
    </w:lvl>
    <w:lvl w:ilvl="1">
      <w:start w:val="1"/>
      <w:numFmt w:val="decimal"/>
      <w:lvlText w:val="%1.%2."/>
      <w:lvlJc w:val="left"/>
      <w:pPr>
        <w:ind w:left="1134" w:hanging="850"/>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2126" w:hanging="1134"/>
      </w:pPr>
      <w:rPr>
        <w:rFonts w:hint="default"/>
      </w:rPr>
    </w:lvl>
    <w:lvl w:ilvl="4">
      <w:start w:val="1"/>
      <w:numFmt w:val="bullet"/>
      <w:lvlText w:val=""/>
      <w:lvlJc w:val="left"/>
      <w:pPr>
        <w:ind w:left="567" w:hanging="283"/>
      </w:pPr>
      <w:rPr>
        <w:rFonts w:ascii="Symbol" w:hAnsi="Symbol" w:hint="default"/>
        <w:color w:val="auto"/>
      </w:rPr>
    </w:lvl>
    <w:lvl w:ilvl="5">
      <w:start w:val="1"/>
      <w:numFmt w:val="bullet"/>
      <w:lvlText w:val=""/>
      <w:lvlJc w:val="left"/>
      <w:pPr>
        <w:tabs>
          <w:tab w:val="num" w:pos="14175"/>
        </w:tabs>
        <w:ind w:left="851" w:hanging="284"/>
      </w:pPr>
      <w:rPr>
        <w:rFonts w:ascii="Symbol" w:hAnsi="Symbol" w:hint="default"/>
        <w:color w:val="auto"/>
      </w:rPr>
    </w:lvl>
    <w:lvl w:ilvl="6">
      <w:start w:val="1"/>
      <w:numFmt w:val="bullet"/>
      <w:lvlText w:val=""/>
      <w:lvlJc w:val="left"/>
      <w:pPr>
        <w:tabs>
          <w:tab w:val="num" w:pos="17010"/>
        </w:tabs>
        <w:ind w:left="1276" w:hanging="284"/>
      </w:pPr>
      <w:rPr>
        <w:rFonts w:ascii="Symbol" w:hAnsi="Symbol" w:hint="default"/>
        <w:color w:val="auto"/>
      </w:rPr>
    </w:lvl>
    <w:lvl w:ilvl="7">
      <w:start w:val="1"/>
      <w:numFmt w:val="none"/>
      <w:lvlText w:val=""/>
      <w:lvlJc w:val="left"/>
      <w:pPr>
        <w:ind w:left="1701" w:hanging="283"/>
      </w:pPr>
      <w:rPr>
        <w:rFonts w:hint="default"/>
      </w:rPr>
    </w:lvl>
    <w:lvl w:ilvl="8">
      <w:start w:val="1"/>
      <w:numFmt w:val="none"/>
      <w:lvlText w:val=""/>
      <w:lvlJc w:val="left"/>
      <w:pPr>
        <w:ind w:left="5103" w:hanging="567"/>
      </w:pPr>
      <w:rPr>
        <w:rFonts w:hint="default"/>
      </w:rPr>
    </w:lvl>
  </w:abstractNum>
  <w:abstractNum w:abstractNumId="6" w15:restartNumberingAfterBreak="0">
    <w:nsid w:val="26857C48"/>
    <w:multiLevelType w:val="hybridMultilevel"/>
    <w:tmpl w:val="5F329F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CC09D0"/>
    <w:multiLevelType w:val="hybridMultilevel"/>
    <w:tmpl w:val="56C411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831B85"/>
    <w:multiLevelType w:val="hybridMultilevel"/>
    <w:tmpl w:val="C64C0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C00D48"/>
    <w:multiLevelType w:val="hybridMultilevel"/>
    <w:tmpl w:val="BBAA0E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242F0E"/>
    <w:multiLevelType w:val="multilevel"/>
    <w:tmpl w:val="69D8F934"/>
    <w:numStyleLink w:val="RA"/>
  </w:abstractNum>
  <w:abstractNum w:abstractNumId="11" w15:restartNumberingAfterBreak="0">
    <w:nsid w:val="46363D5B"/>
    <w:multiLevelType w:val="hybridMultilevel"/>
    <w:tmpl w:val="1424E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FC4947"/>
    <w:multiLevelType w:val="hybridMultilevel"/>
    <w:tmpl w:val="FE222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EB4201"/>
    <w:multiLevelType w:val="hybridMultilevel"/>
    <w:tmpl w:val="5D3EA6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E525CB"/>
    <w:multiLevelType w:val="hybridMultilevel"/>
    <w:tmpl w:val="22347C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9BE086B"/>
    <w:multiLevelType w:val="hybridMultilevel"/>
    <w:tmpl w:val="9A6491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622177"/>
    <w:multiLevelType w:val="hybridMultilevel"/>
    <w:tmpl w:val="5D3EA6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C131892"/>
    <w:multiLevelType w:val="hybridMultilevel"/>
    <w:tmpl w:val="85A467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C422825"/>
    <w:multiLevelType w:val="hybridMultilevel"/>
    <w:tmpl w:val="1424E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6B2C60"/>
    <w:multiLevelType w:val="hybridMultilevel"/>
    <w:tmpl w:val="2B9ED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771F7B"/>
    <w:multiLevelType w:val="hybridMultilevel"/>
    <w:tmpl w:val="15DA8A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ED6AFD"/>
    <w:multiLevelType w:val="multilevel"/>
    <w:tmpl w:val="69D8F934"/>
    <w:lvl w:ilvl="0">
      <w:start w:val="1"/>
      <w:numFmt w:val="decimal"/>
      <w:lvlText w:val="%1."/>
      <w:lvlJc w:val="left"/>
      <w:pPr>
        <w:ind w:left="567" w:hanging="567"/>
      </w:pPr>
      <w:rPr>
        <w:rFonts w:ascii="Arial" w:hAnsi="Arial" w:hint="default"/>
        <w:sz w:val="22"/>
      </w:rPr>
    </w:lvl>
    <w:lvl w:ilvl="1">
      <w:start w:val="1"/>
      <w:numFmt w:val="decimal"/>
      <w:lvlText w:val="%1.%2."/>
      <w:lvlJc w:val="left"/>
      <w:pPr>
        <w:ind w:left="1134" w:hanging="850"/>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2126" w:hanging="1134"/>
      </w:pPr>
      <w:rPr>
        <w:rFonts w:hint="default"/>
      </w:rPr>
    </w:lvl>
    <w:lvl w:ilvl="4">
      <w:start w:val="1"/>
      <w:numFmt w:val="bullet"/>
      <w:lvlText w:val=""/>
      <w:lvlJc w:val="left"/>
      <w:pPr>
        <w:ind w:left="567" w:hanging="283"/>
      </w:pPr>
      <w:rPr>
        <w:rFonts w:ascii="Symbol" w:hAnsi="Symbol" w:hint="default"/>
        <w:color w:val="auto"/>
      </w:rPr>
    </w:lvl>
    <w:lvl w:ilvl="5">
      <w:start w:val="1"/>
      <w:numFmt w:val="bullet"/>
      <w:lvlText w:val=""/>
      <w:lvlJc w:val="left"/>
      <w:pPr>
        <w:tabs>
          <w:tab w:val="num" w:pos="14175"/>
        </w:tabs>
        <w:ind w:left="851" w:hanging="284"/>
      </w:pPr>
      <w:rPr>
        <w:rFonts w:ascii="Symbol" w:hAnsi="Symbol" w:hint="default"/>
        <w:color w:val="auto"/>
      </w:rPr>
    </w:lvl>
    <w:lvl w:ilvl="6">
      <w:start w:val="1"/>
      <w:numFmt w:val="bullet"/>
      <w:lvlText w:val=""/>
      <w:lvlJc w:val="left"/>
      <w:pPr>
        <w:tabs>
          <w:tab w:val="num" w:pos="17010"/>
        </w:tabs>
        <w:ind w:left="1276" w:hanging="284"/>
      </w:pPr>
      <w:rPr>
        <w:rFonts w:ascii="Symbol" w:hAnsi="Symbol" w:hint="default"/>
        <w:color w:val="auto"/>
      </w:rPr>
    </w:lvl>
    <w:lvl w:ilvl="7">
      <w:start w:val="1"/>
      <w:numFmt w:val="none"/>
      <w:lvlText w:val=""/>
      <w:lvlJc w:val="left"/>
      <w:pPr>
        <w:ind w:left="1701" w:hanging="283"/>
      </w:pPr>
      <w:rPr>
        <w:rFonts w:hint="default"/>
      </w:rPr>
    </w:lvl>
    <w:lvl w:ilvl="8">
      <w:start w:val="1"/>
      <w:numFmt w:val="none"/>
      <w:lvlText w:val=""/>
      <w:lvlJc w:val="left"/>
      <w:pPr>
        <w:ind w:left="5103" w:hanging="567"/>
      </w:pPr>
      <w:rPr>
        <w:rFonts w:hint="default"/>
      </w:rPr>
    </w:lvl>
  </w:abstractNum>
  <w:abstractNum w:abstractNumId="22" w15:restartNumberingAfterBreak="0">
    <w:nsid w:val="652C1161"/>
    <w:multiLevelType w:val="singleLevel"/>
    <w:tmpl w:val="03D45AD8"/>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8D74109"/>
    <w:multiLevelType w:val="hybridMultilevel"/>
    <w:tmpl w:val="55AE76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11F779A"/>
    <w:multiLevelType w:val="hybridMultilevel"/>
    <w:tmpl w:val="58949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33678"/>
    <w:multiLevelType w:val="hybridMultilevel"/>
    <w:tmpl w:val="1424E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6729BB"/>
    <w:multiLevelType w:val="hybridMultilevel"/>
    <w:tmpl w:val="3A7628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0"/>
  </w:num>
  <w:num w:numId="3">
    <w:abstractNumId w:val="0"/>
  </w:num>
  <w:num w:numId="4">
    <w:abstractNumId w:val="0"/>
  </w:num>
  <w:num w:numId="5">
    <w:abstractNumId w:val="5"/>
  </w:num>
  <w:num w:numId="6">
    <w:abstractNumId w:val="5"/>
  </w:num>
  <w:num w:numId="7">
    <w:abstractNumId w:val="22"/>
  </w:num>
  <w:num w:numId="8">
    <w:abstractNumId w:val="22"/>
  </w:num>
  <w:num w:numId="9">
    <w:abstractNumId w:val="22"/>
  </w:num>
  <w:num w:numId="10">
    <w:abstractNumId w:val="5"/>
  </w:num>
  <w:num w:numId="11">
    <w:abstractNumId w:val="22"/>
  </w:num>
  <w:num w:numId="12">
    <w:abstractNumId w:val="22"/>
  </w:num>
  <w:num w:numId="13">
    <w:abstractNumId w:val="5"/>
  </w:num>
  <w:num w:numId="14">
    <w:abstractNumId w:val="5"/>
  </w:num>
  <w:num w:numId="15">
    <w:abstractNumId w:val="5"/>
  </w:num>
  <w:num w:numId="16">
    <w:abstractNumId w:val="10"/>
  </w:num>
  <w:num w:numId="17">
    <w:abstractNumId w:val="8"/>
  </w:num>
  <w:num w:numId="18">
    <w:abstractNumId w:val="21"/>
  </w:num>
  <w:num w:numId="19">
    <w:abstractNumId w:val="20"/>
  </w:num>
  <w:num w:numId="20">
    <w:abstractNumId w:val="24"/>
  </w:num>
  <w:num w:numId="21">
    <w:abstractNumId w:val="25"/>
  </w:num>
  <w:num w:numId="22">
    <w:abstractNumId w:val="17"/>
  </w:num>
  <w:num w:numId="23">
    <w:abstractNumId w:val="15"/>
  </w:num>
  <w:num w:numId="24">
    <w:abstractNumId w:val="14"/>
  </w:num>
  <w:num w:numId="25">
    <w:abstractNumId w:val="13"/>
  </w:num>
  <w:num w:numId="26">
    <w:abstractNumId w:val="19"/>
  </w:num>
  <w:num w:numId="27">
    <w:abstractNumId w:val="3"/>
  </w:num>
  <w:num w:numId="28">
    <w:abstractNumId w:val="1"/>
  </w:num>
  <w:num w:numId="29">
    <w:abstractNumId w:val="6"/>
  </w:num>
  <w:num w:numId="30">
    <w:abstractNumId w:val="16"/>
  </w:num>
  <w:num w:numId="31">
    <w:abstractNumId w:val="18"/>
  </w:num>
  <w:num w:numId="32">
    <w:abstractNumId w:val="11"/>
  </w:num>
  <w:num w:numId="33">
    <w:abstractNumId w:val="2"/>
  </w:num>
  <w:num w:numId="34">
    <w:abstractNumId w:val="12"/>
  </w:num>
  <w:num w:numId="35">
    <w:abstractNumId w:val="26"/>
  </w:num>
  <w:num w:numId="36">
    <w:abstractNumId w:val="9"/>
  </w:num>
  <w:num w:numId="37">
    <w:abstractNumId w:val="4"/>
  </w:num>
  <w:num w:numId="38">
    <w:abstractNumId w:val="2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A6"/>
    <w:rsid w:val="000022C9"/>
    <w:rsid w:val="00041ABD"/>
    <w:rsid w:val="00053483"/>
    <w:rsid w:val="00057905"/>
    <w:rsid w:val="00075933"/>
    <w:rsid w:val="000A5F2D"/>
    <w:rsid w:val="000B52BC"/>
    <w:rsid w:val="000D3F33"/>
    <w:rsid w:val="00100021"/>
    <w:rsid w:val="001267F7"/>
    <w:rsid w:val="00157346"/>
    <w:rsid w:val="0016777E"/>
    <w:rsid w:val="001802FB"/>
    <w:rsid w:val="00186121"/>
    <w:rsid w:val="00192DC7"/>
    <w:rsid w:val="001A070B"/>
    <w:rsid w:val="001D53AD"/>
    <w:rsid w:val="001E1C82"/>
    <w:rsid w:val="001E3D19"/>
    <w:rsid w:val="002015BE"/>
    <w:rsid w:val="0024113B"/>
    <w:rsid w:val="00253741"/>
    <w:rsid w:val="002601CB"/>
    <w:rsid w:val="0027190E"/>
    <w:rsid w:val="00272D69"/>
    <w:rsid w:val="002C2DC0"/>
    <w:rsid w:val="002F3688"/>
    <w:rsid w:val="00312327"/>
    <w:rsid w:val="0033142D"/>
    <w:rsid w:val="00335285"/>
    <w:rsid w:val="00364E3F"/>
    <w:rsid w:val="00374D0F"/>
    <w:rsid w:val="00397D5C"/>
    <w:rsid w:val="003C68D5"/>
    <w:rsid w:val="003F2479"/>
    <w:rsid w:val="00411FC4"/>
    <w:rsid w:val="00420803"/>
    <w:rsid w:val="004244A0"/>
    <w:rsid w:val="004244D7"/>
    <w:rsid w:val="00431C85"/>
    <w:rsid w:val="004508B0"/>
    <w:rsid w:val="00477B14"/>
    <w:rsid w:val="00492C4E"/>
    <w:rsid w:val="0049304D"/>
    <w:rsid w:val="004E7229"/>
    <w:rsid w:val="004F6A87"/>
    <w:rsid w:val="00522B27"/>
    <w:rsid w:val="005646D0"/>
    <w:rsid w:val="005D24D1"/>
    <w:rsid w:val="005E7625"/>
    <w:rsid w:val="00602DDD"/>
    <w:rsid w:val="00612CA6"/>
    <w:rsid w:val="006261D9"/>
    <w:rsid w:val="00641769"/>
    <w:rsid w:val="0065129A"/>
    <w:rsid w:val="0066043B"/>
    <w:rsid w:val="0067486A"/>
    <w:rsid w:val="0068500C"/>
    <w:rsid w:val="00690FB6"/>
    <w:rsid w:val="006D26F7"/>
    <w:rsid w:val="006D63BE"/>
    <w:rsid w:val="006E7110"/>
    <w:rsid w:val="006F27EA"/>
    <w:rsid w:val="00700DA7"/>
    <w:rsid w:val="00706F16"/>
    <w:rsid w:val="0071021C"/>
    <w:rsid w:val="007211EE"/>
    <w:rsid w:val="00742C9D"/>
    <w:rsid w:val="00742E6D"/>
    <w:rsid w:val="007562EB"/>
    <w:rsid w:val="007617A5"/>
    <w:rsid w:val="00766477"/>
    <w:rsid w:val="007739BE"/>
    <w:rsid w:val="007B4DC3"/>
    <w:rsid w:val="007E7056"/>
    <w:rsid w:val="007F6BD8"/>
    <w:rsid w:val="008217CF"/>
    <w:rsid w:val="00833FC9"/>
    <w:rsid w:val="00867C3B"/>
    <w:rsid w:val="00873D5B"/>
    <w:rsid w:val="0088483D"/>
    <w:rsid w:val="00892055"/>
    <w:rsid w:val="00897EFA"/>
    <w:rsid w:val="008D3D80"/>
    <w:rsid w:val="008E3B81"/>
    <w:rsid w:val="008F6F66"/>
    <w:rsid w:val="009353FE"/>
    <w:rsid w:val="009420BB"/>
    <w:rsid w:val="00943F95"/>
    <w:rsid w:val="009506E6"/>
    <w:rsid w:val="00952710"/>
    <w:rsid w:val="00964F74"/>
    <w:rsid w:val="00996CC2"/>
    <w:rsid w:val="009A5A53"/>
    <w:rsid w:val="009F71B8"/>
    <w:rsid w:val="00A16EED"/>
    <w:rsid w:val="00A31872"/>
    <w:rsid w:val="00A32EA5"/>
    <w:rsid w:val="00A56EBA"/>
    <w:rsid w:val="00A76E5E"/>
    <w:rsid w:val="00A90A53"/>
    <w:rsid w:val="00AA2669"/>
    <w:rsid w:val="00AB54FF"/>
    <w:rsid w:val="00AC310B"/>
    <w:rsid w:val="00AC5B2B"/>
    <w:rsid w:val="00AD1409"/>
    <w:rsid w:val="00AE01CB"/>
    <w:rsid w:val="00AF1FD6"/>
    <w:rsid w:val="00AF5C8E"/>
    <w:rsid w:val="00B05DC7"/>
    <w:rsid w:val="00B65A91"/>
    <w:rsid w:val="00B91278"/>
    <w:rsid w:val="00BF7F2F"/>
    <w:rsid w:val="00C0098F"/>
    <w:rsid w:val="00C17551"/>
    <w:rsid w:val="00C2023F"/>
    <w:rsid w:val="00C34678"/>
    <w:rsid w:val="00C53504"/>
    <w:rsid w:val="00C6603C"/>
    <w:rsid w:val="00C86FBA"/>
    <w:rsid w:val="00C87187"/>
    <w:rsid w:val="00C9427A"/>
    <w:rsid w:val="00CC1706"/>
    <w:rsid w:val="00CD5AA3"/>
    <w:rsid w:val="00D04487"/>
    <w:rsid w:val="00D27136"/>
    <w:rsid w:val="00D32FE0"/>
    <w:rsid w:val="00D36EEA"/>
    <w:rsid w:val="00D42BA6"/>
    <w:rsid w:val="00D442AB"/>
    <w:rsid w:val="00D9051C"/>
    <w:rsid w:val="00D931C4"/>
    <w:rsid w:val="00DA5DF0"/>
    <w:rsid w:val="00DC39AC"/>
    <w:rsid w:val="00DD43C5"/>
    <w:rsid w:val="00DF5559"/>
    <w:rsid w:val="00DF5F28"/>
    <w:rsid w:val="00E14757"/>
    <w:rsid w:val="00E3477B"/>
    <w:rsid w:val="00E3599D"/>
    <w:rsid w:val="00E36759"/>
    <w:rsid w:val="00E65A16"/>
    <w:rsid w:val="00E8567A"/>
    <w:rsid w:val="00EA11EF"/>
    <w:rsid w:val="00EA5097"/>
    <w:rsid w:val="00EA7612"/>
    <w:rsid w:val="00EF226D"/>
    <w:rsid w:val="00EF2FEA"/>
    <w:rsid w:val="00F01D19"/>
    <w:rsid w:val="00F534E9"/>
    <w:rsid w:val="00F54947"/>
    <w:rsid w:val="00F56CE2"/>
    <w:rsid w:val="00F7487F"/>
    <w:rsid w:val="00FD00BA"/>
    <w:rsid w:val="00FE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54825"/>
  <w15:docId w15:val="{8C33FC77-A12E-43E5-8D06-18432157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3C5"/>
    <w:pPr>
      <w:spacing w:after="160"/>
    </w:pPr>
    <w:rPr>
      <w:rFonts w:ascii="Arial" w:hAnsi="Arial" w:cs="Arial"/>
      <w:color w:val="000000"/>
      <w:szCs w:val="24"/>
    </w:rPr>
  </w:style>
  <w:style w:type="paragraph" w:styleId="Heading1">
    <w:name w:val="heading 1"/>
    <w:basedOn w:val="Normal"/>
    <w:next w:val="Normal"/>
    <w:link w:val="Heading1Char"/>
    <w:uiPriority w:val="9"/>
    <w:qFormat/>
    <w:rsid w:val="00EF2FEA"/>
    <w:pPr>
      <w:pBdr>
        <w:bottom w:val="single" w:sz="4" w:space="1" w:color="auto"/>
      </w:pBdr>
      <w:spacing w:before="240" w:after="240" w:line="240" w:lineRule="auto"/>
      <w:outlineLvl w:val="0"/>
    </w:pPr>
    <w:rPr>
      <w:b/>
      <w:color w:val="4D4D4F"/>
      <w:sz w:val="28"/>
      <w:szCs w:val="28"/>
    </w:rPr>
  </w:style>
  <w:style w:type="paragraph" w:styleId="Heading2">
    <w:name w:val="heading 2"/>
    <w:basedOn w:val="Normal"/>
    <w:next w:val="Normal"/>
    <w:link w:val="Heading2Char"/>
    <w:uiPriority w:val="9"/>
    <w:qFormat/>
    <w:rsid w:val="00EF2FEA"/>
    <w:pPr>
      <w:spacing w:line="240" w:lineRule="auto"/>
      <w:outlineLvl w:val="1"/>
    </w:pPr>
    <w:rPr>
      <w:b/>
      <w:color w:val="auto"/>
      <w:sz w:val="24"/>
    </w:rPr>
  </w:style>
  <w:style w:type="paragraph" w:styleId="Heading3">
    <w:name w:val="heading 3"/>
    <w:basedOn w:val="Normal"/>
    <w:next w:val="Normal"/>
    <w:link w:val="Heading3Char"/>
    <w:uiPriority w:val="9"/>
    <w:qFormat/>
    <w:rsid w:val="00EF2FEA"/>
    <w:pPr>
      <w:spacing w:after="120" w:line="240" w:lineRule="auto"/>
      <w:outlineLvl w:val="2"/>
    </w:pPr>
    <w:rPr>
      <w:i/>
      <w:color w:val="auto"/>
    </w:rPr>
  </w:style>
  <w:style w:type="paragraph" w:styleId="Heading4">
    <w:name w:val="heading 4"/>
    <w:basedOn w:val="Normal"/>
    <w:next w:val="Normal"/>
    <w:link w:val="Heading4Char"/>
    <w:uiPriority w:val="9"/>
    <w:qFormat/>
    <w:rsid w:val="00EF2FEA"/>
    <w:pPr>
      <w:keepNext/>
      <w:keepLines/>
      <w:spacing w:after="120"/>
      <w:outlineLvl w:val="3"/>
    </w:pPr>
    <w:rPr>
      <w:rFonts w:eastAsiaTheme="majorEastAsia" w:cstheme="majorBidi"/>
      <w:bCs/>
      <w:iCs/>
      <w:u w:val="single"/>
    </w:rPr>
  </w:style>
  <w:style w:type="paragraph" w:styleId="Heading5">
    <w:name w:val="heading 5"/>
    <w:basedOn w:val="NoSpacing"/>
    <w:next w:val="Normal"/>
    <w:link w:val="Heading5Char"/>
    <w:uiPriority w:val="9"/>
    <w:unhideWhenUsed/>
    <w:qFormat/>
    <w:rsid w:val="00EF2FEA"/>
    <w:pPr>
      <w:outlineLvl w:val="4"/>
    </w:pPr>
    <w:rPr>
      <w:rFonts w:ascii="Arial Black" w:hAnsi="Arial Black"/>
      <w:color w:val="243C75" w:themeColor="accent4" w:themeShade="80"/>
    </w:rPr>
  </w:style>
  <w:style w:type="paragraph" w:styleId="Heading6">
    <w:name w:val="heading 6"/>
    <w:basedOn w:val="Normal"/>
    <w:next w:val="Normal"/>
    <w:link w:val="Heading6Char"/>
    <w:uiPriority w:val="9"/>
    <w:unhideWhenUsed/>
    <w:qFormat/>
    <w:rsid w:val="00EF2FEA"/>
    <w:pPr>
      <w:outlineLvl w:val="5"/>
    </w:pPr>
    <w:rPr>
      <w:i/>
      <w:color w:val="243C75" w:themeColor="accent4"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qFormat/>
    <w:rsid w:val="00186121"/>
    <w:pPr>
      <w:numPr>
        <w:numId w:val="12"/>
      </w:numPr>
      <w:tabs>
        <w:tab w:val="left" w:pos="1800"/>
        <w:tab w:val="left" w:pos="3240"/>
      </w:tabs>
      <w:spacing w:after="12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EF2FEA"/>
    <w:pPr>
      <w:tabs>
        <w:tab w:val="center" w:pos="4153"/>
        <w:tab w:val="right" w:pos="8306"/>
      </w:tabs>
    </w:pPr>
  </w:style>
  <w:style w:type="paragraph" w:styleId="Footer">
    <w:name w:val="footer"/>
    <w:basedOn w:val="Normal"/>
    <w:rsid w:val="00EF2FEA"/>
    <w:pPr>
      <w:tabs>
        <w:tab w:val="center" w:pos="4153"/>
        <w:tab w:val="right" w:pos="8306"/>
      </w:tabs>
    </w:pPr>
  </w:style>
  <w:style w:type="character" w:customStyle="1" w:styleId="Heading1Char">
    <w:name w:val="Heading 1 Char"/>
    <w:basedOn w:val="DefaultParagraphFont"/>
    <w:link w:val="Heading1"/>
    <w:uiPriority w:val="9"/>
    <w:rsid w:val="00EF2FEA"/>
    <w:rPr>
      <w:rFonts w:ascii="Arial" w:hAnsi="Arial" w:cs="Arial"/>
      <w:b/>
      <w:color w:val="4D4D4F"/>
      <w:sz w:val="28"/>
      <w:szCs w:val="28"/>
    </w:rPr>
  </w:style>
  <w:style w:type="character" w:customStyle="1" w:styleId="Heading2Char">
    <w:name w:val="Heading 2 Char"/>
    <w:basedOn w:val="DefaultParagraphFont"/>
    <w:link w:val="Heading2"/>
    <w:uiPriority w:val="9"/>
    <w:rsid w:val="00EF2FEA"/>
    <w:rPr>
      <w:rFonts w:ascii="Arial" w:hAnsi="Arial" w:cs="Arial"/>
      <w:b/>
      <w:sz w:val="24"/>
      <w:szCs w:val="24"/>
    </w:rPr>
  </w:style>
  <w:style w:type="character" w:customStyle="1" w:styleId="Heading3Char">
    <w:name w:val="Heading 3 Char"/>
    <w:basedOn w:val="DefaultParagraphFont"/>
    <w:link w:val="Heading3"/>
    <w:uiPriority w:val="9"/>
    <w:rsid w:val="00EF2FEA"/>
    <w:rPr>
      <w:rFonts w:ascii="Arial" w:hAnsi="Arial" w:cs="Arial"/>
      <w:i/>
      <w:szCs w:val="24"/>
    </w:rPr>
  </w:style>
  <w:style w:type="character" w:customStyle="1" w:styleId="Heading4Char">
    <w:name w:val="Heading 4 Char"/>
    <w:basedOn w:val="DefaultParagraphFont"/>
    <w:link w:val="Heading4"/>
    <w:uiPriority w:val="9"/>
    <w:rsid w:val="00EF2FEA"/>
    <w:rPr>
      <w:rFonts w:ascii="Arial" w:eastAsiaTheme="majorEastAsia" w:hAnsi="Arial" w:cstheme="majorBidi"/>
      <w:bCs/>
      <w:iCs/>
      <w:color w:val="000000"/>
      <w:szCs w:val="24"/>
      <w:u w:val="single"/>
    </w:rPr>
  </w:style>
  <w:style w:type="character" w:customStyle="1" w:styleId="Heading5Char">
    <w:name w:val="Heading 5 Char"/>
    <w:basedOn w:val="DefaultParagraphFont"/>
    <w:link w:val="Heading5"/>
    <w:uiPriority w:val="9"/>
    <w:rsid w:val="00EF2FEA"/>
    <w:rPr>
      <w:rFonts w:ascii="Arial Black" w:hAnsi="Arial Black" w:cs="Arial"/>
      <w:color w:val="243C75" w:themeColor="accent4" w:themeShade="80"/>
      <w:szCs w:val="24"/>
    </w:rPr>
  </w:style>
  <w:style w:type="paragraph" w:styleId="Title">
    <w:name w:val="Title"/>
    <w:aliases w:val="Cover title"/>
    <w:basedOn w:val="Normal"/>
    <w:next w:val="Normal"/>
    <w:link w:val="TitleChar"/>
    <w:uiPriority w:val="10"/>
    <w:qFormat/>
    <w:rsid w:val="00EF2FEA"/>
    <w:rPr>
      <w:b/>
      <w:color w:val="243C75" w:themeColor="accent4" w:themeShade="80"/>
      <w:sz w:val="44"/>
      <w:szCs w:val="44"/>
    </w:rPr>
  </w:style>
  <w:style w:type="character" w:customStyle="1" w:styleId="TitleChar">
    <w:name w:val="Title Char"/>
    <w:aliases w:val="Cover title Char"/>
    <w:basedOn w:val="DefaultParagraphFont"/>
    <w:link w:val="Title"/>
    <w:uiPriority w:val="10"/>
    <w:rsid w:val="00EF2FEA"/>
    <w:rPr>
      <w:rFonts w:ascii="Arial" w:hAnsi="Arial" w:cs="Arial"/>
      <w:b/>
      <w:color w:val="243C75" w:themeColor="accent4" w:themeShade="80"/>
      <w:sz w:val="44"/>
      <w:szCs w:val="44"/>
    </w:rPr>
  </w:style>
  <w:style w:type="paragraph" w:customStyle="1" w:styleId="Sectiontitle">
    <w:name w:val="Section title"/>
    <w:basedOn w:val="Subtitle"/>
    <w:next w:val="Normal"/>
    <w:uiPriority w:val="11"/>
    <w:qFormat/>
    <w:rsid w:val="00186121"/>
    <w:rPr>
      <w:sz w:val="32"/>
      <w:szCs w:val="32"/>
    </w:rPr>
  </w:style>
  <w:style w:type="paragraph" w:styleId="NoSpacing">
    <w:name w:val="No Spacing"/>
    <w:uiPriority w:val="1"/>
    <w:qFormat/>
    <w:rsid w:val="00EF2FEA"/>
    <w:pPr>
      <w:spacing w:after="160" w:line="240" w:lineRule="auto"/>
    </w:pPr>
    <w:rPr>
      <w:rFonts w:ascii="Arial" w:hAnsi="Arial" w:cs="Arial"/>
      <w:color w:val="000000"/>
      <w:szCs w:val="24"/>
    </w:rPr>
  </w:style>
  <w:style w:type="paragraph" w:styleId="ListParagraph">
    <w:name w:val="List Paragraph"/>
    <w:basedOn w:val="Normal"/>
    <w:uiPriority w:val="34"/>
    <w:qFormat/>
    <w:rsid w:val="00EF2FEA"/>
    <w:pPr>
      <w:ind w:left="720"/>
    </w:pPr>
  </w:style>
  <w:style w:type="paragraph" w:styleId="Subtitle">
    <w:name w:val="Subtitle"/>
    <w:basedOn w:val="Normal"/>
    <w:next w:val="Normal"/>
    <w:link w:val="SubtitleChar"/>
    <w:uiPriority w:val="11"/>
    <w:qFormat/>
    <w:rsid w:val="00EF2FEA"/>
    <w:pPr>
      <w:numPr>
        <w:ilvl w:val="1"/>
      </w:numPr>
    </w:pPr>
    <w:rPr>
      <w:rFonts w:eastAsiaTheme="majorEastAsia" w:cstheme="majorBidi"/>
      <w:b/>
      <w:iCs/>
      <w:color w:val="002060"/>
      <w:sz w:val="28"/>
    </w:rPr>
  </w:style>
  <w:style w:type="character" w:customStyle="1" w:styleId="SubtitleChar">
    <w:name w:val="Subtitle Char"/>
    <w:basedOn w:val="DefaultParagraphFont"/>
    <w:link w:val="Subtitle"/>
    <w:uiPriority w:val="11"/>
    <w:rsid w:val="00EF2FEA"/>
    <w:rPr>
      <w:rFonts w:ascii="Arial" w:eastAsiaTheme="majorEastAsia" w:hAnsi="Arial" w:cstheme="majorBidi"/>
      <w:b/>
      <w:iCs/>
      <w:color w:val="002060"/>
      <w:sz w:val="28"/>
      <w:szCs w:val="24"/>
    </w:rPr>
  </w:style>
  <w:style w:type="paragraph" w:styleId="CommentText">
    <w:name w:val="annotation text"/>
    <w:basedOn w:val="Normal"/>
    <w:link w:val="CommentTextChar"/>
    <w:qFormat/>
    <w:rsid w:val="00272D69"/>
    <w:pPr>
      <w:spacing w:after="80" w:line="240" w:lineRule="auto"/>
    </w:pPr>
    <w:rPr>
      <w:rFonts w:cstheme="minorBidi"/>
      <w:color w:val="auto"/>
      <w:sz w:val="18"/>
      <w:szCs w:val="22"/>
      <w:lang w:eastAsia="en-US"/>
    </w:rPr>
  </w:style>
  <w:style w:type="character" w:customStyle="1" w:styleId="CommentTextChar">
    <w:name w:val="Comment Text Char"/>
    <w:basedOn w:val="DefaultParagraphFont"/>
    <w:link w:val="CommentText"/>
    <w:rsid w:val="00272D69"/>
    <w:rPr>
      <w:rFonts w:ascii="Arial" w:hAnsi="Arial"/>
      <w:sz w:val="18"/>
      <w:lang w:eastAsia="en-US"/>
    </w:rPr>
  </w:style>
  <w:style w:type="paragraph" w:styleId="FootnoteText">
    <w:name w:val="footnote text"/>
    <w:basedOn w:val="Normal"/>
    <w:link w:val="FootnoteTextChar"/>
    <w:qFormat/>
    <w:rsid w:val="00186121"/>
    <w:pPr>
      <w:spacing w:after="80" w:line="240" w:lineRule="auto"/>
    </w:pPr>
    <w:rPr>
      <w:color w:val="auto"/>
      <w:sz w:val="18"/>
      <w:szCs w:val="20"/>
    </w:rPr>
  </w:style>
  <w:style w:type="character" w:customStyle="1" w:styleId="FootnoteTextChar">
    <w:name w:val="Footnote Text Char"/>
    <w:basedOn w:val="DefaultParagraphFont"/>
    <w:link w:val="FootnoteText"/>
    <w:rsid w:val="00186121"/>
    <w:rPr>
      <w:rFonts w:ascii="Arial" w:hAnsi="Arial" w:cs="Arial"/>
      <w:sz w:val="18"/>
      <w:szCs w:val="20"/>
    </w:rPr>
  </w:style>
  <w:style w:type="character" w:customStyle="1" w:styleId="Heading6Char">
    <w:name w:val="Heading 6 Char"/>
    <w:basedOn w:val="DefaultParagraphFont"/>
    <w:link w:val="Heading6"/>
    <w:uiPriority w:val="9"/>
    <w:rsid w:val="00EF2FEA"/>
    <w:rPr>
      <w:rFonts w:ascii="Arial" w:hAnsi="Arial" w:cs="Arial"/>
      <w:i/>
      <w:color w:val="243C75" w:themeColor="accent4" w:themeShade="80"/>
      <w:szCs w:val="24"/>
    </w:rPr>
  </w:style>
  <w:style w:type="numbering" w:customStyle="1" w:styleId="RA">
    <w:name w:val="RA"/>
    <w:uiPriority w:val="99"/>
    <w:rsid w:val="007739BE"/>
    <w:pPr>
      <w:numPr>
        <w:numId w:val="5"/>
      </w:numPr>
    </w:pPr>
  </w:style>
  <w:style w:type="paragraph" w:styleId="TOC1">
    <w:name w:val="toc 1"/>
    <w:basedOn w:val="Heading1"/>
    <w:next w:val="Normal"/>
    <w:uiPriority w:val="39"/>
    <w:unhideWhenUsed/>
    <w:qFormat/>
    <w:rsid w:val="00186121"/>
  </w:style>
  <w:style w:type="paragraph" w:styleId="TOC2">
    <w:name w:val="toc 2"/>
    <w:basedOn w:val="Heading2"/>
    <w:next w:val="Normal"/>
    <w:uiPriority w:val="39"/>
    <w:unhideWhenUsed/>
    <w:qFormat/>
    <w:rsid w:val="00186121"/>
    <w:pPr>
      <w:spacing w:after="200"/>
    </w:pPr>
  </w:style>
  <w:style w:type="paragraph" w:styleId="TOC3">
    <w:name w:val="toc 3"/>
    <w:basedOn w:val="Normal"/>
    <w:next w:val="Normal"/>
    <w:autoRedefine/>
    <w:uiPriority w:val="39"/>
    <w:unhideWhenUsed/>
    <w:qFormat/>
    <w:rsid w:val="00EF2FEA"/>
    <w:pPr>
      <w:spacing w:after="100"/>
      <w:ind w:left="440"/>
    </w:pPr>
    <w:rPr>
      <w:rFonts w:eastAsiaTheme="minorEastAsia" w:cstheme="minorBidi"/>
      <w:color w:val="auto"/>
      <w:szCs w:val="22"/>
      <w:lang w:val="en-US" w:eastAsia="ja-JP"/>
    </w:rPr>
  </w:style>
  <w:style w:type="character" w:styleId="Strong">
    <w:name w:val="Strong"/>
    <w:basedOn w:val="DefaultParagraphFont"/>
    <w:rsid w:val="00EF2FEA"/>
    <w:rPr>
      <w:b/>
      <w:bCs/>
    </w:rPr>
  </w:style>
  <w:style w:type="paragraph" w:styleId="TOCHeading">
    <w:name w:val="TOC Heading"/>
    <w:basedOn w:val="Heading1"/>
    <w:next w:val="Normal"/>
    <w:uiPriority w:val="39"/>
    <w:semiHidden/>
    <w:unhideWhenUsed/>
    <w:qFormat/>
    <w:rsid w:val="00EF2FEA"/>
    <w:pPr>
      <w:keepNext/>
      <w:keepLines/>
      <w:pBdr>
        <w:bottom w:val="none" w:sz="0" w:space="0" w:color="auto"/>
      </w:pBdr>
      <w:spacing w:before="480" w:after="0" w:line="276" w:lineRule="auto"/>
      <w:outlineLvl w:val="9"/>
    </w:pPr>
    <w:rPr>
      <w:rFonts w:asciiTheme="majorHAnsi" w:eastAsiaTheme="majorEastAsia" w:hAnsiTheme="majorHAnsi" w:cstheme="majorBidi"/>
      <w:bCs/>
      <w:color w:val="AE9638" w:themeColor="accent1" w:themeShade="BF"/>
      <w:lang w:val="en-US" w:eastAsia="ja-JP"/>
    </w:rPr>
  </w:style>
  <w:style w:type="character" w:styleId="PageNumber">
    <w:name w:val="page number"/>
    <w:basedOn w:val="DefaultParagraphFont"/>
    <w:rsid w:val="00EF2FEA"/>
  </w:style>
  <w:style w:type="paragraph" w:styleId="NormalWeb">
    <w:name w:val="Normal (Web)"/>
    <w:basedOn w:val="Normal"/>
    <w:rsid w:val="00EF2FEA"/>
    <w:pPr>
      <w:spacing w:before="100" w:beforeAutospacing="1" w:after="100" w:afterAutospacing="1"/>
    </w:pPr>
  </w:style>
  <w:style w:type="paragraph" w:styleId="BalloonText">
    <w:name w:val="Balloon Text"/>
    <w:basedOn w:val="Normal"/>
    <w:link w:val="BalloonTextChar"/>
    <w:rsid w:val="00EF2FEA"/>
    <w:rPr>
      <w:rFonts w:ascii="Tahoma" w:hAnsi="Tahoma" w:cs="Tahoma"/>
      <w:sz w:val="16"/>
      <w:szCs w:val="16"/>
    </w:rPr>
  </w:style>
  <w:style w:type="character" w:customStyle="1" w:styleId="BalloonTextChar">
    <w:name w:val="Balloon Text Char"/>
    <w:basedOn w:val="DefaultParagraphFont"/>
    <w:link w:val="BalloonText"/>
    <w:rsid w:val="00EF2FEA"/>
    <w:rPr>
      <w:rFonts w:ascii="Tahoma" w:hAnsi="Tahoma" w:cs="Tahoma"/>
      <w:color w:val="000000"/>
      <w:sz w:val="16"/>
      <w:szCs w:val="16"/>
    </w:rPr>
  </w:style>
  <w:style w:type="table" w:styleId="TableGrid">
    <w:name w:val="Table Grid"/>
    <w:basedOn w:val="TableNormal"/>
    <w:uiPriority w:val="39"/>
    <w:rsid w:val="00EF2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49304D"/>
    <w:pPr>
      <w:ind w:left="360"/>
    </w:pPr>
    <w:rPr>
      <w:i/>
      <w:iCs/>
      <w:color w:val="000000" w:themeColor="text1"/>
    </w:rPr>
  </w:style>
  <w:style w:type="character" w:customStyle="1" w:styleId="QuoteChar">
    <w:name w:val="Quote Char"/>
    <w:basedOn w:val="DefaultParagraphFont"/>
    <w:link w:val="Quote"/>
    <w:uiPriority w:val="29"/>
    <w:rsid w:val="0049304D"/>
    <w:rPr>
      <w:rFonts w:ascii="Arial" w:hAnsi="Arial" w:cs="Arial"/>
      <w:i/>
      <w:iCs/>
      <w:color w:val="000000" w:themeColor="text1"/>
      <w:szCs w:val="24"/>
    </w:rPr>
  </w:style>
  <w:style w:type="numbering" w:customStyle="1" w:styleId="RA1">
    <w:name w:val="RA1"/>
    <w:uiPriority w:val="99"/>
    <w:rsid w:val="0000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B15D1CACB74D43B54B12BBAB2058C8" ma:contentTypeVersion="0" ma:contentTypeDescription="Create a new document." ma:contentTypeScope="" ma:versionID="57ec0cd52f382355128d09a7bd161b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A34752041</value>
    </field>
    <field name="Objective-Title">
      <value order="0">220324 - AAB - 02. Note 210923</value>
    </field>
    <field name="Objective-Description">
      <value order="0"/>
    </field>
    <field name="Objective-CreationStamp">
      <value order="0">2021-09-23T17:03:50Z</value>
    </field>
    <field name="Objective-IsApproved">
      <value order="0">false</value>
    </field>
    <field name="Objective-IsPublished">
      <value order="0">false</value>
    </field>
    <field name="Objective-DatePublished">
      <value order="0"/>
    </field>
    <field name="Objective-ModificationStamp">
      <value order="0">2021-10-05T09:47:36Z</value>
    </field>
    <field name="Objective-Owner">
      <value order="0">Paterson, Fiona F (N300555)</value>
    </field>
    <field name="Objective-Path">
      <value order="0">Objective Global Folder:Scottish Public Services Ombudsman File Plan:Corporate Governance:Governance:Meetings:Governance meetings - 2021 - 2021-2023</value>
    </field>
    <field name="Objective-Parent">
      <value order="0">Governance meetings - 2021 - 2021-2023</value>
    </field>
    <field name="Objective-State">
      <value order="0">Being Edited</value>
    </field>
    <field name="Objective-VersionId">
      <value order="0">vA51261684</value>
    </field>
    <field name="Objective-Version">
      <value order="0">0.5</value>
    </field>
    <field name="Objective-VersionNumber">
      <value order="0">5</value>
    </field>
    <field name="Objective-VersionComment">
      <value order="0"/>
    </field>
    <field name="Objective-FileNumber">
      <value order="0">BUSPROC/8455</value>
    </field>
    <field name="Objective-Classification">
      <value order="0">OFFICIAL</value>
    </field>
    <field name="Objective-Caveats">
      <value order="0">Caveat for Scottish Public Services Ombudsman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534F-8A69-42AF-8242-0E5EF8013949}">
  <ds:schemaRefs>
    <ds:schemaRef ds:uri="http://schemas.microsoft.com/sharepoint/v3/contenttype/forms"/>
  </ds:schemaRefs>
</ds:datastoreItem>
</file>

<file path=customXml/itemProps2.xml><?xml version="1.0" encoding="utf-8"?>
<ds:datastoreItem xmlns:ds="http://schemas.openxmlformats.org/officeDocument/2006/customXml" ds:itemID="{0CBF3AD1-3799-447E-80D2-BDB88A9A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9E7231D4-AFA4-4AAD-9262-F904AC956E7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8628567-6576-4CB1-9391-07DEE95E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TEMPLATE Governance report</vt:lpstr>
    </vt:vector>
  </TitlesOfParts>
  <Company>Scottish Government</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Governance report</dc:title>
  <dc:creator>RA</dc:creator>
  <cp:lastModifiedBy>Paterson F (Fiona) (SPSO)</cp:lastModifiedBy>
  <cp:revision>7</cp:revision>
  <cp:lastPrinted>2020-11-12T11:08:00Z</cp:lastPrinted>
  <dcterms:created xsi:type="dcterms:W3CDTF">2021-05-26T17:40:00Z</dcterms:created>
  <dcterms:modified xsi:type="dcterms:W3CDTF">2021-10-05T09:53:00Z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0x010100CBB15D1CACB74D43B54B12BBAB2058C8</vt:lpwstr>
  </property>
  <property fmtid="{D5CDD505-2E9C-101B-9397-08002B2CF9AE}" pid="3" name="Order">
    <vt:r8>460800</vt:r8>
  </property>
  <property fmtid="{D5CDD505-2E9C-101B-9397-08002B2CF9AE}" pid="4" name="Retention Period">
    <vt:lpwstr>7</vt:lpwstr>
  </property>
  <property fmtid="{D5CDD505-2E9C-101B-9397-08002B2CF9AE}" pid="5" name="Objective-Id">
    <vt:lpwstr>A34752041</vt:lpwstr>
  </property>
  <property fmtid="{D5CDD505-2E9C-101B-9397-08002B2CF9AE}" pid="6" name="Objective-Title">
    <vt:lpwstr>220324 - AAB - 02. Note 210923</vt:lpwstr>
  </property>
  <property fmtid="{D5CDD505-2E9C-101B-9397-08002B2CF9AE}" pid="7" name="Objective-Description">
    <vt:lpwstr/>
  </property>
  <property fmtid="{D5CDD505-2E9C-101B-9397-08002B2CF9AE}" pid="8" name="Objective-CreationStamp">
    <vt:filetime>2021-09-23T17:03:50Z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2021-10-05T09:47:36Z</vt:filetime>
  </property>
  <property fmtid="{D5CDD505-2E9C-101B-9397-08002B2CF9AE}" pid="13" name="Objective-Owner">
    <vt:lpwstr>Paterson, Fiona F (N300555)</vt:lpwstr>
  </property>
  <property fmtid="{D5CDD505-2E9C-101B-9397-08002B2CF9AE}" pid="14" name="Objective-Path">
    <vt:lpwstr>Objective Global Folder:Scottish Public Services Ombudsman File Plan:Corporate Governance:Governance:Meetings:Governance meetings - 2021 - 2021-2023</vt:lpwstr>
  </property>
  <property fmtid="{D5CDD505-2E9C-101B-9397-08002B2CF9AE}" pid="15" name="Objective-Parent">
    <vt:lpwstr>Governance meetings - 2021 - 2021-2023</vt:lpwstr>
  </property>
  <property fmtid="{D5CDD505-2E9C-101B-9397-08002B2CF9AE}" pid="16" name="Objective-State">
    <vt:lpwstr>Being Edited</vt:lpwstr>
  </property>
  <property fmtid="{D5CDD505-2E9C-101B-9397-08002B2CF9AE}" pid="17" name="Objective-VersionId">
    <vt:lpwstr>vA51261684</vt:lpwstr>
  </property>
  <property fmtid="{D5CDD505-2E9C-101B-9397-08002B2CF9AE}" pid="18" name="Objective-Version">
    <vt:lpwstr>0.5</vt:lpwstr>
  </property>
  <property fmtid="{D5CDD505-2E9C-101B-9397-08002B2CF9AE}" pid="19" name="Objective-VersionNumber">
    <vt:r8>5</vt:r8>
  </property>
  <property fmtid="{D5CDD505-2E9C-101B-9397-08002B2CF9AE}" pid="20" name="Objective-VersionComment">
    <vt:lpwstr/>
  </property>
  <property fmtid="{D5CDD505-2E9C-101B-9397-08002B2CF9AE}" pid="21" name="Objective-FileNumber">
    <vt:lpwstr>BUSPROC/8455</vt:lpwstr>
  </property>
  <property fmtid="{D5CDD505-2E9C-101B-9397-08002B2CF9AE}" pid="22" name="Objective-Classification">
    <vt:lpwstr>OFFICIAL</vt:lpwstr>
  </property>
  <property fmtid="{D5CDD505-2E9C-101B-9397-08002B2CF9AE}" pid="23" name="Objective-Caveats">
    <vt:lpwstr>Caveat for Scottish Public Services Ombudsman</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Required Redaction">
    <vt:lpwstr/>
  </property>
</Properties>
</file>